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4899" w:type="dxa"/>
        <w:tblInd w:w="93" w:type="dxa"/>
        <w:tblLook w:val="04A0" w:firstRow="1" w:lastRow="0" w:firstColumn="1" w:lastColumn="0" w:noHBand="0" w:noVBand="1"/>
      </w:tblPr>
      <w:tblGrid>
        <w:gridCol w:w="4220"/>
        <w:gridCol w:w="1061"/>
        <w:gridCol w:w="980"/>
        <w:gridCol w:w="982"/>
        <w:gridCol w:w="1004"/>
        <w:gridCol w:w="2459"/>
        <w:gridCol w:w="4193"/>
      </w:tblGrid>
      <w:tr w:rsidR="0049271D" w:rsidRPr="0049271D" w:rsidTr="0049271D">
        <w:trPr>
          <w:trHeight w:val="300"/>
        </w:trPr>
        <w:tc>
          <w:tcPr>
            <w:tcW w:w="4220" w:type="dxa"/>
            <w:tcBorders>
              <w:top w:val="nil"/>
              <w:left w:val="nil"/>
              <w:bottom w:val="nil"/>
              <w:right w:val="nil"/>
            </w:tcBorders>
            <w:shd w:val="clear" w:color="auto" w:fill="auto"/>
            <w:noWrap/>
            <w:vAlign w:val="center"/>
            <w:hideMark/>
          </w:tcPr>
          <w:p w:rsidR="0049271D" w:rsidRPr="0049271D" w:rsidRDefault="0049271D" w:rsidP="0049271D">
            <w:pPr>
              <w:rPr>
                <w:rFonts w:eastAsia="Times New Roman"/>
                <w:color w:val="000000"/>
                <w:sz w:val="20"/>
                <w:szCs w:val="20"/>
                <w:lang w:eastAsia="en-GB"/>
              </w:rPr>
            </w:pPr>
          </w:p>
        </w:tc>
        <w:tc>
          <w:tcPr>
            <w:tcW w:w="1061"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982"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1004"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2459"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4193" w:type="dxa"/>
            <w:tcBorders>
              <w:top w:val="nil"/>
              <w:left w:val="nil"/>
              <w:bottom w:val="nil"/>
              <w:right w:val="nil"/>
            </w:tcBorders>
          </w:tcPr>
          <w:p w:rsidR="0049271D" w:rsidRPr="0049271D" w:rsidRDefault="0049271D" w:rsidP="0049271D">
            <w:pPr>
              <w:rPr>
                <w:rFonts w:eastAsia="Times New Roman"/>
                <w:color w:val="000000"/>
                <w:sz w:val="20"/>
                <w:szCs w:val="20"/>
                <w:lang w:eastAsia="en-GB"/>
              </w:rPr>
            </w:pPr>
          </w:p>
        </w:tc>
      </w:tr>
      <w:tr w:rsidR="0049271D" w:rsidRPr="0049271D" w:rsidTr="0049271D">
        <w:trPr>
          <w:trHeight w:val="330"/>
        </w:trPr>
        <w:tc>
          <w:tcPr>
            <w:tcW w:w="4220" w:type="dxa"/>
            <w:tcBorders>
              <w:top w:val="nil"/>
              <w:left w:val="nil"/>
              <w:bottom w:val="nil"/>
              <w:right w:val="nil"/>
            </w:tcBorders>
            <w:shd w:val="clear" w:color="auto" w:fill="auto"/>
            <w:noWrap/>
            <w:vAlign w:val="center"/>
            <w:hideMark/>
          </w:tcPr>
          <w:p w:rsidR="0049271D" w:rsidRPr="0049271D" w:rsidRDefault="0049271D" w:rsidP="0049271D">
            <w:pPr>
              <w:rPr>
                <w:rFonts w:eastAsia="Times New Roman"/>
                <w:b/>
                <w:bCs/>
                <w:color w:val="000000"/>
                <w:sz w:val="20"/>
                <w:szCs w:val="20"/>
                <w:lang w:eastAsia="en-GB"/>
              </w:rPr>
            </w:pPr>
            <w:r w:rsidRPr="0049271D">
              <w:rPr>
                <w:rFonts w:eastAsia="Symbol"/>
                <w:b/>
                <w:bCs/>
                <w:color w:val="000000"/>
                <w:sz w:val="20"/>
                <w:szCs w:val="20"/>
                <w:lang w:eastAsia="en-GB"/>
              </w:rPr>
              <w:t>Corporate Plan  2016-2020</w:t>
            </w:r>
          </w:p>
        </w:tc>
        <w:tc>
          <w:tcPr>
            <w:tcW w:w="1061"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980"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982"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1004"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2459" w:type="dxa"/>
            <w:tcBorders>
              <w:top w:val="nil"/>
              <w:left w:val="nil"/>
              <w:bottom w:val="nil"/>
              <w:right w:val="nil"/>
            </w:tcBorders>
            <w:shd w:val="clear" w:color="auto" w:fill="auto"/>
            <w:noWrap/>
            <w:vAlign w:val="bottom"/>
            <w:hideMark/>
          </w:tcPr>
          <w:p w:rsidR="0049271D" w:rsidRPr="0049271D" w:rsidRDefault="0049271D" w:rsidP="0049271D">
            <w:pPr>
              <w:rPr>
                <w:rFonts w:eastAsia="Times New Roman"/>
                <w:color w:val="000000"/>
                <w:sz w:val="20"/>
                <w:szCs w:val="20"/>
                <w:lang w:eastAsia="en-GB"/>
              </w:rPr>
            </w:pPr>
          </w:p>
        </w:tc>
        <w:tc>
          <w:tcPr>
            <w:tcW w:w="4193" w:type="dxa"/>
            <w:tcBorders>
              <w:top w:val="nil"/>
              <w:left w:val="nil"/>
              <w:bottom w:val="nil"/>
              <w:right w:val="nil"/>
            </w:tcBorders>
          </w:tcPr>
          <w:p w:rsidR="0049271D" w:rsidRPr="0049271D" w:rsidRDefault="0049271D" w:rsidP="0049271D">
            <w:pPr>
              <w:rPr>
                <w:rFonts w:eastAsia="Times New Roman"/>
                <w:color w:val="000000"/>
                <w:sz w:val="20"/>
                <w:szCs w:val="20"/>
                <w:lang w:eastAsia="en-GB"/>
              </w:rPr>
            </w:pPr>
          </w:p>
        </w:tc>
      </w:tr>
      <w:tr w:rsidR="0049271D" w:rsidRPr="0049271D" w:rsidTr="004B74A3">
        <w:trPr>
          <w:trHeight w:val="487"/>
        </w:trPr>
        <w:tc>
          <w:tcPr>
            <w:tcW w:w="4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271D" w:rsidRPr="0049271D" w:rsidRDefault="0049271D" w:rsidP="0049271D">
            <w:pPr>
              <w:jc w:val="center"/>
              <w:rPr>
                <w:rFonts w:eastAsia="Times New Roman"/>
                <w:b/>
                <w:bCs/>
                <w:color w:val="000000"/>
                <w:sz w:val="20"/>
                <w:szCs w:val="20"/>
                <w:lang w:eastAsia="en-GB"/>
              </w:rPr>
            </w:pPr>
            <w:r w:rsidRPr="0049271D">
              <w:rPr>
                <w:rFonts w:eastAsia="Times New Roman"/>
                <w:b/>
                <w:bCs/>
                <w:color w:val="000000"/>
                <w:sz w:val="20"/>
                <w:szCs w:val="20"/>
                <w:lang w:eastAsia="en-GB"/>
              </w:rPr>
              <w:t>Success Measures</w:t>
            </w:r>
          </w:p>
        </w:tc>
        <w:tc>
          <w:tcPr>
            <w:tcW w:w="4027" w:type="dxa"/>
            <w:gridSpan w:val="4"/>
            <w:tcBorders>
              <w:top w:val="single" w:sz="8" w:space="0" w:color="auto"/>
              <w:left w:val="single" w:sz="4" w:space="0" w:color="auto"/>
              <w:bottom w:val="single" w:sz="8" w:space="0" w:color="auto"/>
              <w:right w:val="single" w:sz="8" w:space="0" w:color="000000"/>
            </w:tcBorders>
            <w:shd w:val="clear" w:color="auto" w:fill="auto"/>
            <w:vAlign w:val="center"/>
            <w:hideMark/>
          </w:tcPr>
          <w:p w:rsidR="0049271D" w:rsidRPr="0049271D" w:rsidRDefault="0049271D" w:rsidP="0049271D">
            <w:pPr>
              <w:jc w:val="center"/>
              <w:rPr>
                <w:rFonts w:eastAsia="Times New Roman"/>
                <w:b/>
                <w:bCs/>
                <w:color w:val="000000"/>
                <w:sz w:val="20"/>
                <w:szCs w:val="20"/>
                <w:lang w:eastAsia="en-GB"/>
              </w:rPr>
            </w:pPr>
            <w:r w:rsidRPr="0049271D">
              <w:rPr>
                <w:rFonts w:eastAsia="Times New Roman"/>
                <w:b/>
                <w:bCs/>
                <w:color w:val="000000"/>
                <w:sz w:val="20"/>
                <w:szCs w:val="20"/>
                <w:lang w:eastAsia="en-GB"/>
              </w:rPr>
              <w:t xml:space="preserve"> </w:t>
            </w:r>
          </w:p>
        </w:tc>
        <w:tc>
          <w:tcPr>
            <w:tcW w:w="24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9271D" w:rsidRPr="0049271D" w:rsidRDefault="0049271D" w:rsidP="0049271D">
            <w:pPr>
              <w:jc w:val="center"/>
              <w:rPr>
                <w:rFonts w:eastAsia="Times New Roman"/>
                <w:b/>
                <w:bCs/>
                <w:color w:val="000000"/>
                <w:sz w:val="20"/>
                <w:szCs w:val="20"/>
                <w:lang w:eastAsia="en-GB"/>
              </w:rPr>
            </w:pPr>
            <w:r w:rsidRPr="0049271D">
              <w:rPr>
                <w:rFonts w:eastAsia="Times New Roman"/>
                <w:b/>
                <w:bCs/>
                <w:color w:val="000000"/>
                <w:sz w:val="20"/>
                <w:szCs w:val="20"/>
                <w:lang w:eastAsia="en-GB"/>
              </w:rPr>
              <w:t>How will we measure our progress?</w:t>
            </w:r>
          </w:p>
        </w:tc>
        <w:tc>
          <w:tcPr>
            <w:tcW w:w="4193" w:type="dxa"/>
            <w:vMerge w:val="restart"/>
            <w:tcBorders>
              <w:top w:val="single" w:sz="8" w:space="0" w:color="auto"/>
              <w:left w:val="single" w:sz="8" w:space="0" w:color="auto"/>
              <w:right w:val="single" w:sz="8" w:space="0" w:color="auto"/>
            </w:tcBorders>
            <w:vAlign w:val="center"/>
          </w:tcPr>
          <w:p w:rsidR="0049271D" w:rsidRPr="0049271D" w:rsidRDefault="0049271D" w:rsidP="004B74A3">
            <w:pPr>
              <w:jc w:val="center"/>
              <w:rPr>
                <w:rFonts w:eastAsia="Times New Roman"/>
                <w:b/>
                <w:bCs/>
                <w:color w:val="000000"/>
                <w:sz w:val="20"/>
                <w:szCs w:val="20"/>
                <w:lang w:eastAsia="en-GB"/>
              </w:rPr>
            </w:pPr>
            <w:r w:rsidRPr="0049271D">
              <w:rPr>
                <w:rFonts w:eastAsia="Times New Roman"/>
                <w:b/>
                <w:bCs/>
                <w:color w:val="000000"/>
                <w:sz w:val="20"/>
                <w:szCs w:val="20"/>
                <w:lang w:eastAsia="en-GB"/>
              </w:rPr>
              <w:t>Comment and current  achievement</w:t>
            </w:r>
          </w:p>
        </w:tc>
      </w:tr>
      <w:tr w:rsidR="0049271D" w:rsidRPr="0049271D" w:rsidTr="0049271D">
        <w:trPr>
          <w:trHeight w:val="184"/>
        </w:trPr>
        <w:tc>
          <w:tcPr>
            <w:tcW w:w="4220" w:type="dxa"/>
            <w:vMerge/>
            <w:tcBorders>
              <w:top w:val="single" w:sz="8" w:space="0" w:color="auto"/>
              <w:left w:val="single" w:sz="8" w:space="0" w:color="auto"/>
              <w:right w:val="single" w:sz="8" w:space="0" w:color="auto"/>
            </w:tcBorders>
            <w:vAlign w:val="center"/>
            <w:hideMark/>
          </w:tcPr>
          <w:p w:rsidR="0049271D" w:rsidRPr="0049271D" w:rsidRDefault="0049271D" w:rsidP="0049271D">
            <w:pPr>
              <w:rPr>
                <w:rFonts w:eastAsia="Times New Roman"/>
                <w:b/>
                <w:bCs/>
                <w:color w:val="000000"/>
                <w:sz w:val="20"/>
                <w:szCs w:val="20"/>
                <w:lang w:eastAsia="en-GB"/>
              </w:rPr>
            </w:pPr>
          </w:p>
        </w:tc>
        <w:tc>
          <w:tcPr>
            <w:tcW w:w="1061" w:type="dxa"/>
            <w:tcBorders>
              <w:top w:val="nil"/>
              <w:left w:val="single" w:sz="4" w:space="0" w:color="auto"/>
              <w:right w:val="single" w:sz="8" w:space="0" w:color="auto"/>
            </w:tcBorders>
            <w:shd w:val="clear" w:color="auto" w:fill="auto"/>
            <w:vAlign w:val="center"/>
            <w:hideMark/>
          </w:tcPr>
          <w:p w:rsidR="0049271D" w:rsidRPr="0049271D" w:rsidRDefault="0049271D" w:rsidP="0049271D">
            <w:pPr>
              <w:jc w:val="center"/>
              <w:rPr>
                <w:rFonts w:eastAsia="Times New Roman"/>
                <w:b/>
                <w:bCs/>
                <w:color w:val="000000"/>
                <w:sz w:val="20"/>
                <w:szCs w:val="20"/>
                <w:lang w:eastAsia="en-GB"/>
              </w:rPr>
            </w:pPr>
            <w:r w:rsidRPr="0049271D">
              <w:rPr>
                <w:rFonts w:eastAsia="Times New Roman"/>
                <w:b/>
                <w:bCs/>
                <w:color w:val="000000"/>
                <w:sz w:val="20"/>
                <w:szCs w:val="20"/>
                <w:lang w:eastAsia="en-GB"/>
              </w:rPr>
              <w:t>2016/17</w:t>
            </w:r>
          </w:p>
        </w:tc>
        <w:tc>
          <w:tcPr>
            <w:tcW w:w="980" w:type="dxa"/>
            <w:tcBorders>
              <w:top w:val="nil"/>
              <w:left w:val="nil"/>
              <w:right w:val="single" w:sz="8" w:space="0" w:color="auto"/>
            </w:tcBorders>
            <w:shd w:val="clear" w:color="auto" w:fill="auto"/>
            <w:vAlign w:val="center"/>
            <w:hideMark/>
          </w:tcPr>
          <w:p w:rsidR="0049271D" w:rsidRPr="0049271D" w:rsidRDefault="0049271D" w:rsidP="0049271D">
            <w:pPr>
              <w:jc w:val="center"/>
              <w:rPr>
                <w:rFonts w:eastAsia="Times New Roman"/>
                <w:b/>
                <w:bCs/>
                <w:color w:val="000000"/>
                <w:sz w:val="20"/>
                <w:szCs w:val="20"/>
                <w:lang w:eastAsia="en-GB"/>
              </w:rPr>
            </w:pPr>
            <w:r w:rsidRPr="0049271D">
              <w:rPr>
                <w:rFonts w:eastAsia="Times New Roman"/>
                <w:b/>
                <w:bCs/>
                <w:color w:val="000000"/>
                <w:sz w:val="20"/>
                <w:szCs w:val="20"/>
                <w:lang w:eastAsia="en-GB"/>
              </w:rPr>
              <w:t>2017/18</w:t>
            </w:r>
          </w:p>
        </w:tc>
        <w:tc>
          <w:tcPr>
            <w:tcW w:w="982" w:type="dxa"/>
            <w:tcBorders>
              <w:top w:val="nil"/>
              <w:left w:val="nil"/>
              <w:right w:val="single" w:sz="8" w:space="0" w:color="auto"/>
            </w:tcBorders>
            <w:shd w:val="clear" w:color="auto" w:fill="auto"/>
            <w:vAlign w:val="center"/>
            <w:hideMark/>
          </w:tcPr>
          <w:p w:rsidR="0049271D" w:rsidRPr="0049271D" w:rsidRDefault="0049271D" w:rsidP="0049271D">
            <w:pPr>
              <w:jc w:val="center"/>
              <w:rPr>
                <w:rFonts w:eastAsia="Times New Roman"/>
                <w:b/>
                <w:bCs/>
                <w:color w:val="000000"/>
                <w:sz w:val="20"/>
                <w:szCs w:val="20"/>
                <w:lang w:eastAsia="en-GB"/>
              </w:rPr>
            </w:pPr>
            <w:r w:rsidRPr="0049271D">
              <w:rPr>
                <w:rFonts w:eastAsia="Times New Roman"/>
                <w:b/>
                <w:bCs/>
                <w:color w:val="000000"/>
                <w:sz w:val="20"/>
                <w:szCs w:val="20"/>
                <w:lang w:eastAsia="en-GB"/>
              </w:rPr>
              <w:t>2018/19</w:t>
            </w:r>
          </w:p>
        </w:tc>
        <w:tc>
          <w:tcPr>
            <w:tcW w:w="1004" w:type="dxa"/>
            <w:tcBorders>
              <w:top w:val="nil"/>
              <w:left w:val="nil"/>
              <w:right w:val="single" w:sz="8" w:space="0" w:color="auto"/>
            </w:tcBorders>
            <w:shd w:val="clear" w:color="auto" w:fill="auto"/>
            <w:vAlign w:val="center"/>
            <w:hideMark/>
          </w:tcPr>
          <w:p w:rsidR="0049271D" w:rsidRPr="0049271D" w:rsidRDefault="0049271D" w:rsidP="0049271D">
            <w:pPr>
              <w:jc w:val="center"/>
              <w:rPr>
                <w:rFonts w:eastAsia="Times New Roman"/>
                <w:b/>
                <w:bCs/>
                <w:color w:val="000000"/>
                <w:sz w:val="20"/>
                <w:szCs w:val="20"/>
                <w:lang w:eastAsia="en-GB"/>
              </w:rPr>
            </w:pPr>
            <w:r w:rsidRPr="0049271D">
              <w:rPr>
                <w:rFonts w:eastAsia="Times New Roman"/>
                <w:b/>
                <w:bCs/>
                <w:color w:val="000000"/>
                <w:sz w:val="20"/>
                <w:szCs w:val="20"/>
                <w:lang w:eastAsia="en-GB"/>
              </w:rPr>
              <w:t>2019/20</w:t>
            </w:r>
          </w:p>
        </w:tc>
        <w:tc>
          <w:tcPr>
            <w:tcW w:w="2459" w:type="dxa"/>
            <w:vMerge/>
            <w:tcBorders>
              <w:top w:val="single" w:sz="8" w:space="0" w:color="auto"/>
              <w:left w:val="single" w:sz="8" w:space="0" w:color="auto"/>
              <w:right w:val="single" w:sz="8" w:space="0" w:color="auto"/>
            </w:tcBorders>
            <w:vAlign w:val="center"/>
            <w:hideMark/>
          </w:tcPr>
          <w:p w:rsidR="0049271D" w:rsidRPr="0049271D" w:rsidRDefault="0049271D" w:rsidP="0049271D">
            <w:pPr>
              <w:rPr>
                <w:rFonts w:eastAsia="Times New Roman"/>
                <w:b/>
                <w:bCs/>
                <w:color w:val="000000"/>
                <w:sz w:val="20"/>
                <w:szCs w:val="20"/>
                <w:lang w:eastAsia="en-GB"/>
              </w:rPr>
            </w:pPr>
          </w:p>
        </w:tc>
        <w:tc>
          <w:tcPr>
            <w:tcW w:w="4193" w:type="dxa"/>
            <w:vMerge/>
            <w:tcBorders>
              <w:left w:val="single" w:sz="8" w:space="0" w:color="auto"/>
              <w:right w:val="single" w:sz="8" w:space="0" w:color="auto"/>
            </w:tcBorders>
          </w:tcPr>
          <w:p w:rsidR="0049271D" w:rsidRPr="0049271D" w:rsidRDefault="0049271D" w:rsidP="0049271D">
            <w:pPr>
              <w:rPr>
                <w:rFonts w:eastAsia="Times New Roman"/>
                <w:b/>
                <w:bCs/>
                <w:color w:val="000000"/>
                <w:sz w:val="20"/>
                <w:szCs w:val="20"/>
                <w:lang w:eastAsia="en-GB"/>
              </w:rPr>
            </w:pPr>
          </w:p>
        </w:tc>
      </w:tr>
      <w:tr w:rsidR="0049271D" w:rsidRPr="0049271D" w:rsidTr="0049271D">
        <w:trPr>
          <w:trHeight w:val="582"/>
        </w:trPr>
        <w:tc>
          <w:tcPr>
            <w:tcW w:w="14899" w:type="dxa"/>
            <w:gridSpan w:val="7"/>
            <w:tcBorders>
              <w:top w:val="nil"/>
              <w:left w:val="single" w:sz="4" w:space="0" w:color="auto"/>
              <w:bottom w:val="single" w:sz="4" w:space="0" w:color="auto"/>
              <w:right w:val="single" w:sz="4" w:space="0" w:color="auto"/>
            </w:tcBorders>
            <w:shd w:val="solid" w:color="auto" w:fill="auto"/>
            <w:vAlign w:val="center"/>
          </w:tcPr>
          <w:p w:rsidR="0049271D" w:rsidRPr="0049271D" w:rsidRDefault="0049271D" w:rsidP="0049271D">
            <w:pPr>
              <w:rPr>
                <w:b/>
              </w:rPr>
            </w:pPr>
            <w:r w:rsidRPr="0049271D">
              <w:rPr>
                <w:b/>
                <w:highlight w:val="black"/>
              </w:rPr>
              <w:t>Vibrant and Sustainable Economy</w:t>
            </w:r>
          </w:p>
        </w:tc>
      </w:tr>
      <w:tr w:rsidR="0049271D" w:rsidRPr="0049271D" w:rsidTr="00352A44">
        <w:trPr>
          <w:trHeight w:val="2543"/>
        </w:trPr>
        <w:tc>
          <w:tcPr>
            <w:tcW w:w="4220" w:type="dxa"/>
            <w:tcBorders>
              <w:top w:val="nil"/>
              <w:left w:val="single" w:sz="4" w:space="0" w:color="auto"/>
              <w:bottom w:val="single" w:sz="4" w:space="0" w:color="auto"/>
              <w:right w:val="single" w:sz="4" w:space="0" w:color="auto"/>
            </w:tcBorders>
            <w:shd w:val="clear" w:color="auto" w:fill="auto"/>
            <w:vAlign w:val="center"/>
          </w:tcPr>
          <w:p w:rsidR="0049271D" w:rsidRPr="0049271D" w:rsidRDefault="0049271D" w:rsidP="0049271D">
            <w:pPr>
              <w:rPr>
                <w:rFonts w:eastAsia="Times New Roman"/>
                <w:color w:val="000000"/>
                <w:sz w:val="20"/>
                <w:szCs w:val="20"/>
                <w:lang w:eastAsia="en-GB"/>
              </w:rPr>
            </w:pPr>
            <w:r w:rsidRPr="0049271D">
              <w:rPr>
                <w:rFonts w:eastAsia="Times New Roman"/>
                <w:color w:val="000000"/>
                <w:sz w:val="20"/>
                <w:szCs w:val="20"/>
                <w:lang w:eastAsia="en-GB"/>
              </w:rPr>
              <w:t>Amount of employment floor</w:t>
            </w:r>
          </w:p>
          <w:p w:rsidR="0049271D" w:rsidRPr="0049271D" w:rsidRDefault="0049271D" w:rsidP="00295C9E">
            <w:pPr>
              <w:rPr>
                <w:rFonts w:eastAsia="Times New Roman"/>
                <w:color w:val="000000"/>
                <w:sz w:val="20"/>
                <w:szCs w:val="20"/>
                <w:lang w:eastAsia="en-GB"/>
              </w:rPr>
            </w:pPr>
            <w:r w:rsidRPr="0049271D">
              <w:rPr>
                <w:rFonts w:eastAsia="Times New Roman"/>
                <w:color w:val="000000"/>
                <w:sz w:val="20"/>
                <w:szCs w:val="20"/>
                <w:lang w:eastAsia="en-GB"/>
              </w:rPr>
              <w:t>space permitted for development</w:t>
            </w:r>
            <w:r w:rsidR="00295C9E">
              <w:rPr>
                <w:rFonts w:eastAsia="Times New Roman"/>
                <w:color w:val="000000"/>
                <w:sz w:val="20"/>
                <w:szCs w:val="20"/>
                <w:lang w:eastAsia="en-GB"/>
              </w:rPr>
              <w:t xml:space="preserve"> </w:t>
            </w:r>
          </w:p>
        </w:tc>
        <w:tc>
          <w:tcPr>
            <w:tcW w:w="1061" w:type="dxa"/>
            <w:tcBorders>
              <w:top w:val="nil"/>
              <w:left w:val="single" w:sz="4" w:space="0" w:color="auto"/>
              <w:bottom w:val="single" w:sz="4" w:space="0" w:color="auto"/>
              <w:right w:val="single" w:sz="4" w:space="0" w:color="auto"/>
            </w:tcBorders>
            <w:shd w:val="clear" w:color="auto" w:fill="auto"/>
            <w:vAlign w:val="center"/>
          </w:tcPr>
          <w:p w:rsidR="0049271D" w:rsidRPr="0049271D" w:rsidRDefault="0049271D" w:rsidP="0049271D">
            <w:pPr>
              <w:jc w:val="center"/>
              <w:rPr>
                <w:rFonts w:eastAsia="Times New Roman"/>
                <w:bCs/>
                <w:color w:val="000000"/>
                <w:sz w:val="20"/>
                <w:szCs w:val="20"/>
                <w:lang w:eastAsia="en-GB"/>
              </w:rPr>
            </w:pPr>
            <w:r w:rsidRPr="0049271D">
              <w:rPr>
                <w:rFonts w:eastAsia="Times New Roman"/>
                <w:bCs/>
                <w:color w:val="000000"/>
                <w:sz w:val="20"/>
                <w:szCs w:val="20"/>
                <w:lang w:eastAsia="en-GB"/>
              </w:rPr>
              <w:t xml:space="preserve">15,000 </w:t>
            </w:r>
            <w:proofErr w:type="spellStart"/>
            <w:r w:rsidRPr="0049271D">
              <w:rPr>
                <w:rFonts w:eastAsia="Times New Roman"/>
                <w:bCs/>
                <w:color w:val="000000"/>
                <w:sz w:val="20"/>
                <w:szCs w:val="20"/>
                <w:lang w:eastAsia="en-GB"/>
              </w:rPr>
              <w:t>sqm</w:t>
            </w:r>
            <w:proofErr w:type="spellEnd"/>
          </w:p>
        </w:tc>
        <w:tc>
          <w:tcPr>
            <w:tcW w:w="980" w:type="dxa"/>
            <w:tcBorders>
              <w:top w:val="nil"/>
              <w:left w:val="nil"/>
              <w:bottom w:val="single" w:sz="4" w:space="0" w:color="auto"/>
              <w:right w:val="single" w:sz="4" w:space="0" w:color="auto"/>
            </w:tcBorders>
            <w:shd w:val="clear" w:color="auto" w:fill="auto"/>
            <w:vAlign w:val="center"/>
          </w:tcPr>
          <w:p w:rsidR="0049271D" w:rsidRPr="0049271D" w:rsidRDefault="00295C9E" w:rsidP="0049271D">
            <w:pPr>
              <w:jc w:val="center"/>
              <w:rPr>
                <w:rFonts w:eastAsia="Times New Roman"/>
                <w:bCs/>
                <w:color w:val="000000"/>
                <w:sz w:val="20"/>
                <w:szCs w:val="20"/>
                <w:lang w:eastAsia="en-GB"/>
              </w:rPr>
            </w:pPr>
            <w:r>
              <w:rPr>
                <w:rFonts w:eastAsia="Times New Roman"/>
                <w:bCs/>
                <w:color w:val="000000"/>
                <w:sz w:val="20"/>
                <w:szCs w:val="20"/>
                <w:lang w:eastAsia="en-GB"/>
              </w:rPr>
              <w:t>15</w:t>
            </w:r>
            <w:r w:rsidR="0049271D" w:rsidRPr="0049271D">
              <w:rPr>
                <w:rFonts w:eastAsia="Times New Roman"/>
                <w:bCs/>
                <w:color w:val="000000"/>
                <w:sz w:val="20"/>
                <w:szCs w:val="20"/>
                <w:lang w:eastAsia="en-GB"/>
              </w:rPr>
              <w:t xml:space="preserve">,000 </w:t>
            </w:r>
            <w:proofErr w:type="spellStart"/>
            <w:r w:rsidR="0049271D" w:rsidRPr="0049271D">
              <w:rPr>
                <w:rFonts w:eastAsia="Times New Roman"/>
                <w:bCs/>
                <w:color w:val="000000"/>
                <w:sz w:val="20"/>
                <w:szCs w:val="20"/>
                <w:lang w:eastAsia="en-GB"/>
              </w:rPr>
              <w:t>sqm</w:t>
            </w:r>
            <w:proofErr w:type="spellEnd"/>
          </w:p>
        </w:tc>
        <w:tc>
          <w:tcPr>
            <w:tcW w:w="982" w:type="dxa"/>
            <w:tcBorders>
              <w:top w:val="nil"/>
              <w:left w:val="nil"/>
              <w:bottom w:val="single" w:sz="4" w:space="0" w:color="auto"/>
              <w:right w:val="single" w:sz="4" w:space="0" w:color="auto"/>
            </w:tcBorders>
            <w:shd w:val="clear" w:color="auto" w:fill="auto"/>
            <w:vAlign w:val="center"/>
          </w:tcPr>
          <w:p w:rsidR="0049271D" w:rsidRPr="0049271D" w:rsidRDefault="00295C9E" w:rsidP="0049271D">
            <w:pPr>
              <w:jc w:val="center"/>
              <w:rPr>
                <w:rFonts w:eastAsia="Times New Roman"/>
                <w:bCs/>
                <w:color w:val="000000"/>
                <w:sz w:val="20"/>
                <w:szCs w:val="20"/>
                <w:lang w:eastAsia="en-GB"/>
              </w:rPr>
            </w:pPr>
            <w:r>
              <w:rPr>
                <w:rFonts w:eastAsia="Times New Roman"/>
                <w:bCs/>
                <w:color w:val="000000"/>
                <w:sz w:val="20"/>
                <w:szCs w:val="20"/>
                <w:lang w:eastAsia="en-GB"/>
              </w:rPr>
              <w:t>15</w:t>
            </w:r>
            <w:r w:rsidR="0049271D" w:rsidRPr="0049271D">
              <w:rPr>
                <w:rFonts w:eastAsia="Times New Roman"/>
                <w:bCs/>
                <w:color w:val="000000"/>
                <w:sz w:val="20"/>
                <w:szCs w:val="20"/>
                <w:lang w:eastAsia="en-GB"/>
              </w:rPr>
              <w:t xml:space="preserve">,000 </w:t>
            </w:r>
            <w:proofErr w:type="spellStart"/>
            <w:r w:rsidR="0049271D" w:rsidRPr="0049271D">
              <w:rPr>
                <w:rFonts w:eastAsia="Times New Roman"/>
                <w:bCs/>
                <w:color w:val="000000"/>
                <w:sz w:val="20"/>
                <w:szCs w:val="20"/>
                <w:lang w:eastAsia="en-GB"/>
              </w:rPr>
              <w:t>sqm</w:t>
            </w:r>
            <w:proofErr w:type="spellEnd"/>
          </w:p>
        </w:tc>
        <w:tc>
          <w:tcPr>
            <w:tcW w:w="1004" w:type="dxa"/>
            <w:tcBorders>
              <w:top w:val="nil"/>
              <w:left w:val="nil"/>
              <w:bottom w:val="single" w:sz="4" w:space="0" w:color="auto"/>
              <w:right w:val="single" w:sz="4" w:space="0" w:color="auto"/>
            </w:tcBorders>
            <w:shd w:val="clear" w:color="auto" w:fill="auto"/>
            <w:vAlign w:val="center"/>
          </w:tcPr>
          <w:p w:rsidR="0049271D" w:rsidRPr="0049271D" w:rsidRDefault="00295C9E" w:rsidP="0049271D">
            <w:pPr>
              <w:jc w:val="center"/>
              <w:rPr>
                <w:rFonts w:eastAsia="Times New Roman"/>
                <w:bCs/>
                <w:color w:val="000000"/>
                <w:sz w:val="20"/>
                <w:szCs w:val="20"/>
                <w:lang w:eastAsia="en-GB"/>
              </w:rPr>
            </w:pPr>
            <w:r>
              <w:rPr>
                <w:rFonts w:eastAsia="Times New Roman"/>
                <w:bCs/>
                <w:color w:val="000000"/>
                <w:sz w:val="20"/>
                <w:szCs w:val="20"/>
                <w:lang w:eastAsia="en-GB"/>
              </w:rPr>
              <w:t>15</w:t>
            </w:r>
            <w:r w:rsidR="0049271D" w:rsidRPr="0049271D">
              <w:rPr>
                <w:rFonts w:eastAsia="Times New Roman"/>
                <w:bCs/>
                <w:color w:val="000000"/>
                <w:sz w:val="20"/>
                <w:szCs w:val="20"/>
                <w:lang w:eastAsia="en-GB"/>
              </w:rPr>
              <w:t xml:space="preserve">,000 </w:t>
            </w:r>
            <w:proofErr w:type="spellStart"/>
            <w:r w:rsidR="0049271D" w:rsidRPr="0049271D">
              <w:rPr>
                <w:rFonts w:eastAsia="Times New Roman"/>
                <w:bCs/>
                <w:color w:val="000000"/>
                <w:sz w:val="20"/>
                <w:szCs w:val="20"/>
                <w:lang w:eastAsia="en-GB"/>
              </w:rPr>
              <w:t>sqm</w:t>
            </w:r>
            <w:proofErr w:type="spellEnd"/>
          </w:p>
        </w:tc>
        <w:tc>
          <w:tcPr>
            <w:tcW w:w="2459" w:type="dxa"/>
            <w:tcBorders>
              <w:top w:val="nil"/>
              <w:left w:val="nil"/>
              <w:bottom w:val="single" w:sz="4" w:space="0" w:color="auto"/>
              <w:right w:val="single" w:sz="4" w:space="0" w:color="auto"/>
            </w:tcBorders>
            <w:shd w:val="clear" w:color="auto" w:fill="auto"/>
            <w:vAlign w:val="center"/>
          </w:tcPr>
          <w:p w:rsidR="0049271D" w:rsidRPr="0049271D" w:rsidRDefault="0049271D" w:rsidP="00352A44">
            <w:pPr>
              <w:pStyle w:val="ListParagraph"/>
              <w:ind w:left="360"/>
              <w:rPr>
                <w:rFonts w:eastAsia="Times New Roman"/>
                <w:color w:val="000000"/>
                <w:sz w:val="20"/>
                <w:szCs w:val="20"/>
                <w:lang w:eastAsia="en-GB"/>
              </w:rPr>
            </w:pPr>
            <w:r w:rsidRPr="0049271D">
              <w:rPr>
                <w:rFonts w:eastAsia="Times New Roman"/>
                <w:color w:val="000000"/>
                <w:sz w:val="20"/>
                <w:szCs w:val="20"/>
                <w:lang w:eastAsia="en-GB"/>
              </w:rPr>
              <w:t xml:space="preserve">Amount of new employment (Class B) net increase in floor space granted full planning permission or reserved matters. Measured by indicator in the Annual Monitoring Report (AMR). </w:t>
            </w:r>
          </w:p>
        </w:tc>
        <w:tc>
          <w:tcPr>
            <w:tcW w:w="4193" w:type="dxa"/>
            <w:tcBorders>
              <w:top w:val="nil"/>
              <w:left w:val="nil"/>
              <w:bottom w:val="single" w:sz="4" w:space="0" w:color="auto"/>
              <w:right w:val="single" w:sz="4" w:space="0" w:color="auto"/>
            </w:tcBorders>
          </w:tcPr>
          <w:p w:rsidR="0049271D" w:rsidRPr="0049271D" w:rsidRDefault="0049271D" w:rsidP="0049271D">
            <w:pPr>
              <w:rPr>
                <w:sz w:val="20"/>
                <w:szCs w:val="20"/>
              </w:rPr>
            </w:pPr>
            <w:r w:rsidRPr="0049271D">
              <w:rPr>
                <w:sz w:val="20"/>
                <w:szCs w:val="20"/>
              </w:rPr>
              <w:t xml:space="preserve">The measure is based on an estimate of the planning permissions coming forward over the next four years. This could potentially amount to a total </w:t>
            </w:r>
            <w:r w:rsidRPr="00712ABA">
              <w:rPr>
                <w:sz w:val="20"/>
                <w:szCs w:val="20"/>
              </w:rPr>
              <w:t xml:space="preserve">of </w:t>
            </w:r>
            <w:r w:rsidRPr="00712ABA">
              <w:rPr>
                <w:bCs/>
                <w:sz w:val="20"/>
                <w:szCs w:val="20"/>
              </w:rPr>
              <w:t>60,000</w:t>
            </w:r>
            <w:r w:rsidRPr="00712ABA">
              <w:rPr>
                <w:sz w:val="20"/>
                <w:szCs w:val="20"/>
              </w:rPr>
              <w:t xml:space="preserve"> </w:t>
            </w:r>
            <w:proofErr w:type="spellStart"/>
            <w:r w:rsidRPr="00712ABA">
              <w:rPr>
                <w:sz w:val="20"/>
                <w:szCs w:val="20"/>
              </w:rPr>
              <w:t>sqm</w:t>
            </w:r>
            <w:proofErr w:type="spellEnd"/>
            <w:r w:rsidRPr="0049271D">
              <w:rPr>
                <w:sz w:val="20"/>
                <w:szCs w:val="20"/>
              </w:rPr>
              <w:t xml:space="preserve"> cumulatively over this period, including for example Phase 1 of Northern Gateway, </w:t>
            </w:r>
            <w:proofErr w:type="spellStart"/>
            <w:r w:rsidRPr="0049271D">
              <w:rPr>
                <w:sz w:val="20"/>
                <w:szCs w:val="20"/>
              </w:rPr>
              <w:t>Oxpens</w:t>
            </w:r>
            <w:proofErr w:type="spellEnd"/>
            <w:r w:rsidRPr="0049271D">
              <w:rPr>
                <w:sz w:val="20"/>
                <w:szCs w:val="20"/>
              </w:rPr>
              <w:t>; Churchill Hospital, and Old Road. The total is split into annual assumptions however success should be measured over the four year period as a whole given cyclical fluctuations year on year.</w:t>
            </w:r>
          </w:p>
        </w:tc>
      </w:tr>
      <w:tr w:rsidR="0049271D" w:rsidRPr="0049271D" w:rsidTr="0049271D">
        <w:trPr>
          <w:trHeight w:val="2273"/>
        </w:trPr>
        <w:tc>
          <w:tcPr>
            <w:tcW w:w="4220" w:type="dxa"/>
            <w:tcBorders>
              <w:top w:val="nil"/>
              <w:left w:val="single" w:sz="4" w:space="0" w:color="auto"/>
              <w:bottom w:val="single" w:sz="4" w:space="0" w:color="auto"/>
              <w:right w:val="single" w:sz="4" w:space="0" w:color="auto"/>
            </w:tcBorders>
            <w:shd w:val="clear" w:color="auto" w:fill="auto"/>
            <w:vAlign w:val="center"/>
          </w:tcPr>
          <w:p w:rsidR="0049271D" w:rsidRPr="0049271D" w:rsidRDefault="0049271D" w:rsidP="0049271D">
            <w:pPr>
              <w:rPr>
                <w:rFonts w:eastAsia="Times New Roman"/>
                <w:color w:val="000000"/>
                <w:sz w:val="20"/>
                <w:szCs w:val="20"/>
                <w:lang w:eastAsia="en-GB"/>
              </w:rPr>
            </w:pPr>
            <w:r w:rsidRPr="0049271D">
              <w:rPr>
                <w:rFonts w:eastAsia="Times New Roman"/>
                <w:color w:val="000000"/>
                <w:sz w:val="20"/>
                <w:szCs w:val="20"/>
                <w:lang w:eastAsia="en-GB"/>
              </w:rPr>
              <w:t>Number of jobs created or safeguarded in the city as a result of the City Council’s investment and leadership</w:t>
            </w:r>
          </w:p>
        </w:tc>
        <w:tc>
          <w:tcPr>
            <w:tcW w:w="1061" w:type="dxa"/>
            <w:tcBorders>
              <w:top w:val="nil"/>
              <w:left w:val="single" w:sz="4" w:space="0" w:color="auto"/>
              <w:bottom w:val="single" w:sz="4" w:space="0" w:color="auto"/>
              <w:right w:val="single" w:sz="4" w:space="0" w:color="auto"/>
            </w:tcBorders>
            <w:shd w:val="clear" w:color="auto" w:fill="auto"/>
            <w:vAlign w:val="center"/>
          </w:tcPr>
          <w:p w:rsidR="0049271D" w:rsidRPr="0049271D" w:rsidRDefault="0049271D" w:rsidP="0049271D">
            <w:pPr>
              <w:jc w:val="center"/>
              <w:rPr>
                <w:rFonts w:eastAsia="Times New Roman"/>
                <w:bCs/>
                <w:color w:val="000000"/>
                <w:sz w:val="20"/>
                <w:szCs w:val="20"/>
                <w:lang w:eastAsia="en-GB"/>
              </w:rPr>
            </w:pPr>
            <w:r w:rsidRPr="0049271D">
              <w:rPr>
                <w:rFonts w:eastAsia="Times New Roman"/>
                <w:bCs/>
                <w:color w:val="000000"/>
                <w:sz w:val="20"/>
                <w:szCs w:val="20"/>
                <w:lang w:eastAsia="en-GB"/>
              </w:rPr>
              <w:t>700</w:t>
            </w:r>
          </w:p>
        </w:tc>
        <w:tc>
          <w:tcPr>
            <w:tcW w:w="980" w:type="dxa"/>
            <w:tcBorders>
              <w:top w:val="nil"/>
              <w:left w:val="nil"/>
              <w:bottom w:val="single" w:sz="4" w:space="0" w:color="auto"/>
              <w:right w:val="single" w:sz="4" w:space="0" w:color="auto"/>
            </w:tcBorders>
            <w:shd w:val="clear" w:color="auto" w:fill="auto"/>
            <w:vAlign w:val="center"/>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900</w:t>
            </w:r>
          </w:p>
        </w:tc>
        <w:tc>
          <w:tcPr>
            <w:tcW w:w="982" w:type="dxa"/>
            <w:tcBorders>
              <w:top w:val="nil"/>
              <w:left w:val="nil"/>
              <w:bottom w:val="single" w:sz="4" w:space="0" w:color="auto"/>
              <w:right w:val="single" w:sz="4" w:space="0" w:color="auto"/>
            </w:tcBorders>
            <w:shd w:val="clear" w:color="auto" w:fill="auto"/>
            <w:vAlign w:val="center"/>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1100</w:t>
            </w:r>
          </w:p>
        </w:tc>
        <w:tc>
          <w:tcPr>
            <w:tcW w:w="1004" w:type="dxa"/>
            <w:tcBorders>
              <w:top w:val="nil"/>
              <w:left w:val="nil"/>
              <w:bottom w:val="single" w:sz="4" w:space="0" w:color="auto"/>
              <w:right w:val="single" w:sz="4" w:space="0" w:color="auto"/>
            </w:tcBorders>
            <w:shd w:val="clear" w:color="auto" w:fill="auto"/>
            <w:vAlign w:val="center"/>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1250</w:t>
            </w:r>
          </w:p>
        </w:tc>
        <w:tc>
          <w:tcPr>
            <w:tcW w:w="2459" w:type="dxa"/>
            <w:tcBorders>
              <w:top w:val="nil"/>
              <w:left w:val="nil"/>
              <w:bottom w:val="single" w:sz="4" w:space="0" w:color="auto"/>
              <w:right w:val="single" w:sz="4" w:space="0" w:color="auto"/>
            </w:tcBorders>
            <w:shd w:val="clear" w:color="auto" w:fill="auto"/>
            <w:vAlign w:val="center"/>
          </w:tcPr>
          <w:p w:rsidR="0049271D" w:rsidRPr="0049271D" w:rsidRDefault="0049271D" w:rsidP="0049271D">
            <w:pPr>
              <w:rPr>
                <w:color w:val="000000"/>
                <w:sz w:val="20"/>
                <w:szCs w:val="20"/>
                <w:lang w:eastAsia="en-GB"/>
              </w:rPr>
            </w:pPr>
            <w:r w:rsidRPr="0049271D">
              <w:rPr>
                <w:color w:val="000000"/>
                <w:sz w:val="20"/>
                <w:szCs w:val="20"/>
                <w:lang w:eastAsia="en-GB"/>
              </w:rPr>
              <w:t xml:space="preserve">Recorded quarterly. </w:t>
            </w:r>
          </w:p>
          <w:p w:rsidR="0049271D" w:rsidRPr="0049271D" w:rsidRDefault="0049271D" w:rsidP="0049271D">
            <w:pPr>
              <w:rPr>
                <w:color w:val="000000"/>
                <w:sz w:val="20"/>
                <w:szCs w:val="20"/>
                <w:lang w:eastAsia="en-GB"/>
              </w:rPr>
            </w:pPr>
            <w:r w:rsidRPr="0049271D">
              <w:rPr>
                <w:color w:val="000000"/>
                <w:sz w:val="20"/>
                <w:szCs w:val="20"/>
                <w:lang w:eastAsia="en-GB"/>
              </w:rPr>
              <w:t>Measured by</w:t>
            </w:r>
          </w:p>
          <w:p w:rsidR="0049271D" w:rsidRPr="0049271D" w:rsidRDefault="0049271D" w:rsidP="0049271D">
            <w:pPr>
              <w:numPr>
                <w:ilvl w:val="0"/>
                <w:numId w:val="1"/>
              </w:numPr>
              <w:contextualSpacing/>
              <w:rPr>
                <w:color w:val="000000"/>
                <w:sz w:val="20"/>
                <w:szCs w:val="20"/>
                <w:lang w:eastAsia="en-GB"/>
              </w:rPr>
            </w:pPr>
            <w:r w:rsidRPr="0049271D">
              <w:rPr>
                <w:color w:val="000000"/>
                <w:sz w:val="20"/>
                <w:szCs w:val="20"/>
                <w:lang w:eastAsia="en-GB"/>
              </w:rPr>
              <w:t>Business support; and apprenticeships,</w:t>
            </w:r>
            <w:r>
              <w:rPr>
                <w:color w:val="000000"/>
                <w:sz w:val="20"/>
                <w:szCs w:val="20"/>
                <w:lang w:eastAsia="en-GB"/>
              </w:rPr>
              <w:t xml:space="preserve"> </w:t>
            </w:r>
            <w:r w:rsidRPr="0049271D">
              <w:rPr>
                <w:color w:val="000000"/>
                <w:sz w:val="20"/>
                <w:szCs w:val="20"/>
                <w:lang w:eastAsia="en-GB"/>
              </w:rPr>
              <w:t>OCC and partners,</w:t>
            </w:r>
          </w:p>
          <w:p w:rsidR="0049271D" w:rsidRPr="0049271D" w:rsidRDefault="0049271D" w:rsidP="0049271D">
            <w:pPr>
              <w:numPr>
                <w:ilvl w:val="0"/>
                <w:numId w:val="1"/>
              </w:numPr>
              <w:contextualSpacing/>
              <w:rPr>
                <w:color w:val="000000"/>
                <w:sz w:val="20"/>
                <w:szCs w:val="20"/>
                <w:lang w:eastAsia="en-GB"/>
              </w:rPr>
            </w:pPr>
            <w:r w:rsidRPr="0049271D">
              <w:rPr>
                <w:color w:val="000000"/>
                <w:sz w:val="20"/>
                <w:szCs w:val="20"/>
                <w:lang w:eastAsia="en-GB"/>
              </w:rPr>
              <w:t>jobs supported by council investment</w:t>
            </w:r>
          </w:p>
          <w:p w:rsidR="0049271D" w:rsidRPr="0049271D" w:rsidRDefault="0049271D" w:rsidP="0049271D">
            <w:pPr>
              <w:pStyle w:val="ListParagraph"/>
              <w:numPr>
                <w:ilvl w:val="0"/>
                <w:numId w:val="1"/>
              </w:numPr>
              <w:rPr>
                <w:color w:val="000000"/>
                <w:sz w:val="20"/>
                <w:szCs w:val="20"/>
                <w:lang w:eastAsia="en-GB"/>
              </w:rPr>
            </w:pPr>
            <w:r w:rsidRPr="0049271D">
              <w:rPr>
                <w:color w:val="000000"/>
                <w:sz w:val="20"/>
                <w:szCs w:val="20"/>
                <w:lang w:eastAsia="en-GB"/>
              </w:rPr>
              <w:t>Jobs supported by other spend</w:t>
            </w:r>
          </w:p>
          <w:p w:rsidR="0049271D" w:rsidRPr="0049271D" w:rsidRDefault="0049271D" w:rsidP="0049271D">
            <w:pPr>
              <w:rPr>
                <w:rFonts w:eastAsia="Times New Roman"/>
                <w:color w:val="000000"/>
                <w:sz w:val="20"/>
                <w:szCs w:val="20"/>
                <w:lang w:eastAsia="en-GB"/>
              </w:rPr>
            </w:pPr>
          </w:p>
        </w:tc>
        <w:tc>
          <w:tcPr>
            <w:tcW w:w="4193" w:type="dxa"/>
            <w:tcBorders>
              <w:top w:val="nil"/>
              <w:left w:val="nil"/>
              <w:bottom w:val="single" w:sz="4" w:space="0" w:color="auto"/>
              <w:right w:val="single" w:sz="4" w:space="0" w:color="auto"/>
            </w:tcBorders>
          </w:tcPr>
          <w:p w:rsidR="0049271D" w:rsidRPr="0049271D" w:rsidRDefault="0049271D" w:rsidP="0049271D">
            <w:pPr>
              <w:autoSpaceDE w:val="0"/>
              <w:autoSpaceDN w:val="0"/>
              <w:adjustRightInd w:val="0"/>
              <w:rPr>
                <w:color w:val="000000"/>
                <w:sz w:val="20"/>
                <w:szCs w:val="20"/>
              </w:rPr>
            </w:pPr>
            <w:r w:rsidRPr="0049271D">
              <w:rPr>
                <w:color w:val="000000"/>
                <w:sz w:val="20"/>
                <w:szCs w:val="20"/>
              </w:rPr>
              <w:t>The figures are based on jobs creation projections in the SQW forecast.</w:t>
            </w:r>
          </w:p>
          <w:p w:rsidR="0049271D" w:rsidRPr="0049271D" w:rsidRDefault="0049271D" w:rsidP="0049271D">
            <w:pPr>
              <w:autoSpaceDE w:val="0"/>
              <w:autoSpaceDN w:val="0"/>
              <w:adjustRightInd w:val="0"/>
              <w:rPr>
                <w:color w:val="000000"/>
                <w:sz w:val="20"/>
                <w:szCs w:val="20"/>
              </w:rPr>
            </w:pPr>
            <w:r w:rsidRPr="0049271D">
              <w:rPr>
                <w:color w:val="000000"/>
                <w:sz w:val="20"/>
                <w:szCs w:val="20"/>
              </w:rPr>
              <w:t>The current year projection is 550 on course to be met.</w:t>
            </w:r>
          </w:p>
        </w:tc>
      </w:tr>
      <w:tr w:rsidR="0049271D" w:rsidRPr="0049271D" w:rsidTr="005B534F">
        <w:trPr>
          <w:trHeight w:val="705"/>
        </w:trPr>
        <w:tc>
          <w:tcPr>
            <w:tcW w:w="4220" w:type="dxa"/>
            <w:tcBorders>
              <w:top w:val="nil"/>
              <w:left w:val="single" w:sz="4" w:space="0" w:color="auto"/>
              <w:bottom w:val="single" w:sz="8" w:space="0" w:color="auto"/>
              <w:right w:val="single" w:sz="4" w:space="0" w:color="auto"/>
            </w:tcBorders>
            <w:shd w:val="clear" w:color="auto" w:fill="auto"/>
            <w:vAlign w:val="center"/>
            <w:hideMark/>
          </w:tcPr>
          <w:p w:rsidR="0049271D" w:rsidRPr="0049271D" w:rsidRDefault="0049271D" w:rsidP="0049271D">
            <w:pPr>
              <w:rPr>
                <w:color w:val="000000"/>
                <w:sz w:val="20"/>
                <w:szCs w:val="20"/>
                <w:lang w:eastAsia="en-GB"/>
              </w:rPr>
            </w:pPr>
            <w:r w:rsidRPr="0049271D">
              <w:rPr>
                <w:color w:val="000000"/>
                <w:sz w:val="20"/>
                <w:szCs w:val="20"/>
                <w:lang w:eastAsia="en-GB"/>
              </w:rPr>
              <w:t>Net</w:t>
            </w:r>
            <w:r w:rsidR="00295C9E">
              <w:rPr>
                <w:color w:val="000000"/>
                <w:sz w:val="20"/>
                <w:szCs w:val="20"/>
                <w:lang w:eastAsia="en-GB"/>
              </w:rPr>
              <w:t xml:space="preserve"> annual</w:t>
            </w:r>
            <w:r w:rsidRPr="0049271D">
              <w:rPr>
                <w:color w:val="000000"/>
                <w:sz w:val="20"/>
                <w:szCs w:val="20"/>
                <w:lang w:eastAsia="en-GB"/>
              </w:rPr>
              <w:t xml:space="preserve"> increase in number of businesses operating in the city</w:t>
            </w:r>
          </w:p>
          <w:p w:rsidR="0049271D" w:rsidRPr="0049271D" w:rsidRDefault="0049271D" w:rsidP="0049271D">
            <w:pPr>
              <w:rPr>
                <w:rFonts w:eastAsia="Times New Roman"/>
                <w:color w:val="000000"/>
                <w:sz w:val="20"/>
                <w:szCs w:val="20"/>
                <w:lang w:eastAsia="en-GB"/>
              </w:rPr>
            </w:pPr>
          </w:p>
        </w:tc>
        <w:tc>
          <w:tcPr>
            <w:tcW w:w="1061" w:type="dxa"/>
            <w:tcBorders>
              <w:top w:val="nil"/>
              <w:left w:val="single" w:sz="4" w:space="0" w:color="auto"/>
              <w:bottom w:val="single" w:sz="8" w:space="0" w:color="auto"/>
              <w:right w:val="single" w:sz="4" w:space="0" w:color="auto"/>
            </w:tcBorders>
            <w:shd w:val="clear" w:color="auto" w:fill="auto"/>
            <w:vAlign w:val="center"/>
            <w:hideMark/>
          </w:tcPr>
          <w:p w:rsidR="0049271D" w:rsidRPr="0049271D" w:rsidRDefault="0049271D" w:rsidP="0049271D">
            <w:pPr>
              <w:jc w:val="center"/>
              <w:rPr>
                <w:rFonts w:eastAsia="Times New Roman"/>
                <w:bCs/>
                <w:color w:val="000000"/>
                <w:sz w:val="20"/>
                <w:szCs w:val="20"/>
                <w:lang w:eastAsia="en-GB"/>
              </w:rPr>
            </w:pPr>
            <w:r w:rsidRPr="0049271D">
              <w:rPr>
                <w:rFonts w:eastAsia="Times New Roman"/>
                <w:bCs/>
                <w:color w:val="000000"/>
                <w:sz w:val="20"/>
                <w:szCs w:val="20"/>
                <w:lang w:eastAsia="en-GB"/>
              </w:rPr>
              <w:t>200 </w:t>
            </w:r>
          </w:p>
        </w:tc>
        <w:tc>
          <w:tcPr>
            <w:tcW w:w="980" w:type="dxa"/>
            <w:tcBorders>
              <w:top w:val="nil"/>
              <w:left w:val="nil"/>
              <w:bottom w:val="single" w:sz="8" w:space="0" w:color="auto"/>
              <w:right w:val="single" w:sz="4" w:space="0" w:color="auto"/>
            </w:tcBorders>
            <w:shd w:val="clear" w:color="auto" w:fill="auto"/>
            <w:vAlign w:val="center"/>
            <w:hideMark/>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 200</w:t>
            </w:r>
          </w:p>
        </w:tc>
        <w:tc>
          <w:tcPr>
            <w:tcW w:w="982" w:type="dxa"/>
            <w:tcBorders>
              <w:top w:val="nil"/>
              <w:left w:val="nil"/>
              <w:bottom w:val="single" w:sz="8" w:space="0" w:color="auto"/>
              <w:right w:val="single" w:sz="4" w:space="0" w:color="auto"/>
            </w:tcBorders>
            <w:shd w:val="clear" w:color="auto" w:fill="auto"/>
            <w:vAlign w:val="center"/>
            <w:hideMark/>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200</w:t>
            </w:r>
          </w:p>
        </w:tc>
        <w:tc>
          <w:tcPr>
            <w:tcW w:w="1004" w:type="dxa"/>
            <w:tcBorders>
              <w:top w:val="nil"/>
              <w:left w:val="nil"/>
              <w:bottom w:val="single" w:sz="8" w:space="0" w:color="auto"/>
              <w:right w:val="single" w:sz="4" w:space="0" w:color="auto"/>
            </w:tcBorders>
            <w:shd w:val="clear" w:color="auto" w:fill="auto"/>
            <w:vAlign w:val="center"/>
            <w:hideMark/>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200</w:t>
            </w:r>
          </w:p>
        </w:tc>
        <w:tc>
          <w:tcPr>
            <w:tcW w:w="2459" w:type="dxa"/>
            <w:tcBorders>
              <w:top w:val="nil"/>
              <w:left w:val="nil"/>
              <w:bottom w:val="single" w:sz="8" w:space="0" w:color="auto"/>
              <w:right w:val="single" w:sz="4" w:space="0" w:color="auto"/>
            </w:tcBorders>
            <w:shd w:val="clear" w:color="auto" w:fill="auto"/>
            <w:vAlign w:val="center"/>
            <w:hideMark/>
          </w:tcPr>
          <w:p w:rsidR="0049271D" w:rsidRPr="0049271D" w:rsidRDefault="0049271D" w:rsidP="0049271D">
            <w:pPr>
              <w:rPr>
                <w:rFonts w:eastAsia="Times New Roman"/>
                <w:color w:val="000000"/>
                <w:sz w:val="20"/>
                <w:szCs w:val="20"/>
                <w:lang w:eastAsia="en-GB"/>
              </w:rPr>
            </w:pPr>
            <w:r w:rsidRPr="0049271D">
              <w:rPr>
                <w:rFonts w:eastAsia="Times New Roman"/>
                <w:color w:val="000000"/>
                <w:sz w:val="20"/>
                <w:szCs w:val="20"/>
                <w:lang w:eastAsia="en-GB"/>
              </w:rPr>
              <w:t xml:space="preserve">Net number of VAT </w:t>
            </w:r>
            <w:proofErr w:type="gramStart"/>
            <w:r w:rsidRPr="0049271D">
              <w:rPr>
                <w:rFonts w:eastAsia="Times New Roman"/>
                <w:color w:val="000000"/>
                <w:sz w:val="20"/>
                <w:szCs w:val="20"/>
                <w:lang w:eastAsia="en-GB"/>
              </w:rPr>
              <w:t>registered  business</w:t>
            </w:r>
            <w:proofErr w:type="gramEnd"/>
            <w:r w:rsidRPr="0049271D">
              <w:rPr>
                <w:rFonts w:eastAsia="Times New Roman"/>
                <w:color w:val="000000"/>
                <w:sz w:val="20"/>
                <w:szCs w:val="20"/>
                <w:lang w:eastAsia="en-GB"/>
              </w:rPr>
              <w:t xml:space="preserve"> starting and closing.  </w:t>
            </w:r>
          </w:p>
          <w:p w:rsidR="0049271D" w:rsidRPr="0049271D" w:rsidRDefault="0049271D" w:rsidP="0049271D">
            <w:pPr>
              <w:rPr>
                <w:color w:val="000000"/>
                <w:sz w:val="20"/>
                <w:szCs w:val="20"/>
                <w:lang w:eastAsia="en-GB"/>
              </w:rPr>
            </w:pPr>
            <w:r w:rsidRPr="0049271D">
              <w:rPr>
                <w:color w:val="000000"/>
                <w:sz w:val="20"/>
                <w:szCs w:val="20"/>
                <w:lang w:eastAsia="en-GB"/>
              </w:rPr>
              <w:t>Recorded annually</w:t>
            </w:r>
          </w:p>
          <w:p w:rsidR="0049271D" w:rsidRPr="0049271D" w:rsidRDefault="0049271D" w:rsidP="0049271D">
            <w:pPr>
              <w:rPr>
                <w:rFonts w:eastAsia="Times New Roman"/>
                <w:color w:val="000000"/>
                <w:sz w:val="20"/>
                <w:szCs w:val="20"/>
                <w:lang w:eastAsia="en-GB"/>
              </w:rPr>
            </w:pPr>
            <w:r w:rsidRPr="0049271D">
              <w:rPr>
                <w:rFonts w:eastAsia="Times New Roman"/>
                <w:color w:val="000000"/>
                <w:sz w:val="20"/>
                <w:szCs w:val="20"/>
                <w:lang w:eastAsia="en-GB"/>
              </w:rPr>
              <w:t>VAT registrations (ONS)</w:t>
            </w:r>
          </w:p>
        </w:tc>
        <w:tc>
          <w:tcPr>
            <w:tcW w:w="4193" w:type="dxa"/>
            <w:tcBorders>
              <w:top w:val="nil"/>
              <w:left w:val="nil"/>
              <w:bottom w:val="single" w:sz="8" w:space="0" w:color="auto"/>
              <w:right w:val="single" w:sz="4" w:space="0" w:color="auto"/>
            </w:tcBorders>
          </w:tcPr>
          <w:p w:rsidR="0049271D" w:rsidRPr="0049271D" w:rsidRDefault="0049271D" w:rsidP="0049271D">
            <w:pPr>
              <w:rPr>
                <w:rFonts w:eastAsia="Times New Roman"/>
                <w:color w:val="000000"/>
                <w:sz w:val="20"/>
                <w:szCs w:val="20"/>
                <w:lang w:eastAsia="en-GB"/>
              </w:rPr>
            </w:pPr>
            <w:r w:rsidRPr="0049271D">
              <w:rPr>
                <w:rFonts w:eastAsia="Times New Roman"/>
                <w:color w:val="000000"/>
                <w:sz w:val="20"/>
                <w:szCs w:val="20"/>
                <w:lang w:eastAsia="en-GB"/>
              </w:rPr>
              <w:t xml:space="preserve">Figs from 2009-14 range from 25-230. They are a wider economic measure rather than </w:t>
            </w:r>
            <w:r w:rsidR="00712ABA">
              <w:rPr>
                <w:rFonts w:eastAsia="Times New Roman"/>
                <w:color w:val="000000"/>
                <w:sz w:val="20"/>
                <w:szCs w:val="20"/>
                <w:lang w:eastAsia="en-GB"/>
              </w:rPr>
              <w:t>a target and fluctuate year on y</w:t>
            </w:r>
            <w:r w:rsidRPr="0049271D">
              <w:rPr>
                <w:rFonts w:eastAsia="Times New Roman"/>
                <w:color w:val="000000"/>
                <w:sz w:val="20"/>
                <w:szCs w:val="20"/>
                <w:lang w:eastAsia="en-GB"/>
              </w:rPr>
              <w:t>ear so success should be measured across against cumulative figure for the four year period.</w:t>
            </w:r>
          </w:p>
          <w:p w:rsidR="0049271D" w:rsidRPr="0049271D" w:rsidRDefault="0049271D" w:rsidP="0049271D">
            <w:pPr>
              <w:rPr>
                <w:rFonts w:eastAsia="Times New Roman"/>
                <w:color w:val="000000"/>
                <w:sz w:val="20"/>
                <w:szCs w:val="20"/>
                <w:lang w:eastAsia="en-GB"/>
              </w:rPr>
            </w:pPr>
          </w:p>
        </w:tc>
      </w:tr>
      <w:tr w:rsidR="005B534F" w:rsidRPr="005B534F" w:rsidTr="00352A44">
        <w:trPr>
          <w:trHeight w:val="638"/>
        </w:trPr>
        <w:tc>
          <w:tcPr>
            <w:tcW w:w="14899" w:type="dxa"/>
            <w:gridSpan w:val="7"/>
            <w:tcBorders>
              <w:top w:val="single" w:sz="8" w:space="0" w:color="auto"/>
              <w:left w:val="single" w:sz="8" w:space="0" w:color="auto"/>
              <w:bottom w:val="single" w:sz="8" w:space="0" w:color="auto"/>
              <w:right w:val="single" w:sz="4" w:space="0" w:color="auto"/>
            </w:tcBorders>
            <w:shd w:val="solid" w:color="auto" w:fill="auto"/>
            <w:vAlign w:val="center"/>
          </w:tcPr>
          <w:p w:rsidR="005B534F" w:rsidRPr="005B534F" w:rsidRDefault="005B534F" w:rsidP="005B534F">
            <w:pPr>
              <w:rPr>
                <w:b/>
                <w:color w:val="FFFFFF" w:themeColor="background1"/>
                <w:lang w:eastAsia="en-GB"/>
              </w:rPr>
            </w:pPr>
            <w:r w:rsidRPr="005B534F">
              <w:rPr>
                <w:b/>
                <w:color w:val="FFFFFF" w:themeColor="background1"/>
                <w:lang w:eastAsia="en-GB"/>
              </w:rPr>
              <w:t>Meeting Housing Needs</w:t>
            </w:r>
          </w:p>
        </w:tc>
      </w:tr>
      <w:tr w:rsidR="005B534F" w:rsidRPr="0049271D" w:rsidTr="00BB3D44">
        <w:trPr>
          <w:trHeight w:val="1344"/>
        </w:trPr>
        <w:tc>
          <w:tcPr>
            <w:tcW w:w="4220" w:type="dxa"/>
            <w:tcBorders>
              <w:top w:val="single" w:sz="8" w:space="0" w:color="auto"/>
              <w:left w:val="single" w:sz="8" w:space="0" w:color="auto"/>
              <w:bottom w:val="single" w:sz="8" w:space="0" w:color="auto"/>
              <w:right w:val="nil"/>
            </w:tcBorders>
            <w:shd w:val="clear" w:color="auto" w:fill="auto"/>
            <w:vAlign w:val="center"/>
            <w:hideMark/>
          </w:tcPr>
          <w:p w:rsidR="005B534F" w:rsidRPr="0049271D" w:rsidRDefault="005B534F" w:rsidP="005B534F">
            <w:pPr>
              <w:rPr>
                <w:rFonts w:eastAsia="Times New Roman"/>
                <w:color w:val="000000"/>
                <w:sz w:val="20"/>
                <w:szCs w:val="20"/>
                <w:lang w:eastAsia="en-GB"/>
              </w:rPr>
            </w:pPr>
            <w:r w:rsidRPr="0049271D">
              <w:rPr>
                <w:rFonts w:eastAsia="Times New Roman"/>
                <w:color w:val="000000"/>
                <w:sz w:val="20"/>
                <w:szCs w:val="20"/>
                <w:lang w:eastAsia="en-GB"/>
              </w:rPr>
              <w:lastRenderedPageBreak/>
              <w:t>Number of new homes  granted permission in the city</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bCs/>
                <w:color w:val="000000"/>
                <w:sz w:val="20"/>
                <w:szCs w:val="20"/>
                <w:lang w:eastAsia="en-GB"/>
              </w:rPr>
            </w:pPr>
            <w:r w:rsidRPr="0049271D">
              <w:rPr>
                <w:rFonts w:eastAsia="Times New Roman"/>
                <w:b/>
                <w:bCs/>
                <w:color w:val="000000"/>
                <w:sz w:val="20"/>
                <w:szCs w:val="20"/>
                <w:lang w:eastAsia="en-GB"/>
              </w:rPr>
              <w:t> </w:t>
            </w:r>
            <w:r w:rsidRPr="0049271D">
              <w:rPr>
                <w:rFonts w:eastAsia="Times New Roman"/>
                <w:bCs/>
                <w:color w:val="000000"/>
                <w:sz w:val="20"/>
                <w:szCs w:val="20"/>
                <w:lang w:eastAsia="en-GB"/>
              </w:rPr>
              <w:t>400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color w:val="000000"/>
                <w:sz w:val="20"/>
                <w:szCs w:val="20"/>
                <w:lang w:eastAsia="en-GB"/>
              </w:rPr>
            </w:pPr>
          </w:p>
          <w:p w:rsidR="005B534F" w:rsidRPr="0049271D" w:rsidRDefault="005B534F" w:rsidP="005B534F">
            <w:pPr>
              <w:jc w:val="center"/>
              <w:rPr>
                <w:rFonts w:eastAsia="Times New Roman"/>
                <w:color w:val="000000"/>
                <w:sz w:val="20"/>
                <w:szCs w:val="20"/>
                <w:lang w:eastAsia="en-GB"/>
              </w:rPr>
            </w:pPr>
            <w:r w:rsidRPr="0049271D">
              <w:rPr>
                <w:rFonts w:eastAsia="Times New Roman"/>
                <w:color w:val="000000"/>
                <w:sz w:val="20"/>
                <w:szCs w:val="20"/>
                <w:lang w:eastAsia="en-GB"/>
              </w:rPr>
              <w:t>400</w:t>
            </w:r>
          </w:p>
          <w:p w:rsidR="005B534F" w:rsidRPr="0049271D" w:rsidRDefault="005B534F" w:rsidP="005B534F">
            <w:pPr>
              <w:rPr>
                <w:rFonts w:eastAsia="Times New Roman"/>
                <w:color w:val="000000"/>
                <w:sz w:val="20"/>
                <w:szCs w:val="20"/>
                <w:lang w:eastAsia="en-GB"/>
              </w:rPr>
            </w:pP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color w:val="000000"/>
                <w:sz w:val="20"/>
                <w:szCs w:val="20"/>
                <w:lang w:eastAsia="en-GB"/>
              </w:rPr>
            </w:pPr>
            <w:r w:rsidRPr="0049271D">
              <w:rPr>
                <w:rFonts w:eastAsia="Times New Roman"/>
                <w:color w:val="000000"/>
                <w:sz w:val="20"/>
                <w:szCs w:val="20"/>
                <w:lang w:eastAsia="en-GB"/>
              </w:rPr>
              <w:t> 400</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color w:val="000000"/>
                <w:sz w:val="20"/>
                <w:szCs w:val="20"/>
                <w:lang w:eastAsia="en-GB"/>
              </w:rPr>
            </w:pPr>
            <w:r w:rsidRPr="0049271D">
              <w:rPr>
                <w:rFonts w:eastAsia="Times New Roman"/>
                <w:color w:val="000000"/>
                <w:sz w:val="20"/>
                <w:szCs w:val="20"/>
                <w:lang w:eastAsia="en-GB"/>
              </w:rPr>
              <w:t> 400</w:t>
            </w:r>
          </w:p>
        </w:tc>
        <w:tc>
          <w:tcPr>
            <w:tcW w:w="2459" w:type="dxa"/>
            <w:tcBorders>
              <w:top w:val="single" w:sz="4" w:space="0" w:color="auto"/>
              <w:left w:val="nil"/>
              <w:bottom w:val="single" w:sz="4" w:space="0" w:color="auto"/>
              <w:right w:val="single" w:sz="4" w:space="0" w:color="auto"/>
            </w:tcBorders>
            <w:shd w:val="clear" w:color="auto" w:fill="auto"/>
            <w:vAlign w:val="center"/>
            <w:hideMark/>
          </w:tcPr>
          <w:p w:rsidR="005B534F" w:rsidRPr="005B534F" w:rsidRDefault="005B534F" w:rsidP="005B534F">
            <w:pPr>
              <w:rPr>
                <w:rFonts w:eastAsia="Times New Roman"/>
                <w:sz w:val="20"/>
                <w:szCs w:val="20"/>
                <w:lang w:eastAsia="en-GB"/>
              </w:rPr>
            </w:pPr>
            <w:r w:rsidRPr="005B534F">
              <w:rPr>
                <w:rFonts w:eastAsia="Times New Roman"/>
                <w:sz w:val="20"/>
                <w:szCs w:val="20"/>
                <w:lang w:eastAsia="en-GB"/>
              </w:rPr>
              <w:t> </w:t>
            </w:r>
            <w:r w:rsidRPr="005B534F">
              <w:rPr>
                <w:sz w:val="20"/>
                <w:szCs w:val="20"/>
                <w:lang w:eastAsia="en-GB"/>
              </w:rPr>
              <w:t>Recorded annually in the Annual Monitoring Report.  Number of new homes granted full planning permission or reserved matters</w:t>
            </w:r>
          </w:p>
        </w:tc>
        <w:tc>
          <w:tcPr>
            <w:tcW w:w="4193" w:type="dxa"/>
            <w:tcBorders>
              <w:top w:val="single" w:sz="4" w:space="0" w:color="auto"/>
              <w:left w:val="nil"/>
              <w:bottom w:val="single" w:sz="4" w:space="0" w:color="auto"/>
              <w:right w:val="single" w:sz="4" w:space="0" w:color="auto"/>
            </w:tcBorders>
          </w:tcPr>
          <w:p w:rsidR="005B534F" w:rsidRPr="005B534F" w:rsidRDefault="005B534F" w:rsidP="005B534F">
            <w:pPr>
              <w:rPr>
                <w:sz w:val="20"/>
                <w:szCs w:val="20"/>
                <w:lang w:eastAsia="en-GB"/>
              </w:rPr>
            </w:pPr>
            <w:r w:rsidRPr="005B534F">
              <w:rPr>
                <w:sz w:val="20"/>
                <w:szCs w:val="20"/>
                <w:lang w:eastAsia="en-GB"/>
              </w:rPr>
              <w:t xml:space="preserve">This measure is based on planning permissions granted rather than homes completed because it is within the councils influence whereas there are many factors that influence rate of completions not within our control and there would be a time lag on reporting completions whereas we can monitor progress on permissions continually. </w:t>
            </w:r>
          </w:p>
          <w:p w:rsidR="005B534F" w:rsidRPr="005B534F" w:rsidRDefault="005B534F" w:rsidP="005B534F">
            <w:pPr>
              <w:rPr>
                <w:sz w:val="20"/>
                <w:szCs w:val="20"/>
                <w:lang w:eastAsia="en-GB"/>
              </w:rPr>
            </w:pPr>
          </w:p>
          <w:p w:rsidR="005B534F" w:rsidRPr="005B534F" w:rsidRDefault="005B534F" w:rsidP="005B534F">
            <w:pPr>
              <w:rPr>
                <w:rFonts w:eastAsia="Times New Roman"/>
                <w:sz w:val="20"/>
                <w:szCs w:val="20"/>
                <w:lang w:eastAsia="en-GB"/>
              </w:rPr>
            </w:pPr>
            <w:r w:rsidRPr="005B534F">
              <w:rPr>
                <w:sz w:val="20"/>
                <w:szCs w:val="20"/>
                <w:lang w:eastAsia="en-GB"/>
              </w:rPr>
              <w:t xml:space="preserve">The target is based on what is achievable in the Local Plan.  The amount of planning permissions will fluctuate year on year and success should be measured against the 4 year period as a whole.  Between 2010/11 and 2014/15 the average number of homes granted was 404 per year. </w:t>
            </w:r>
          </w:p>
        </w:tc>
      </w:tr>
      <w:tr w:rsidR="005B534F" w:rsidRPr="0049271D" w:rsidTr="00BB3D44">
        <w:trPr>
          <w:trHeight w:val="966"/>
        </w:trPr>
        <w:tc>
          <w:tcPr>
            <w:tcW w:w="4220" w:type="dxa"/>
            <w:tcBorders>
              <w:top w:val="nil"/>
              <w:left w:val="single" w:sz="8" w:space="0" w:color="auto"/>
              <w:bottom w:val="single" w:sz="4" w:space="0" w:color="auto"/>
              <w:right w:val="nil"/>
            </w:tcBorders>
            <w:shd w:val="clear" w:color="auto" w:fill="auto"/>
            <w:vAlign w:val="center"/>
            <w:hideMark/>
          </w:tcPr>
          <w:p w:rsidR="005B534F" w:rsidRPr="0049271D" w:rsidRDefault="005B534F" w:rsidP="005B534F">
            <w:pPr>
              <w:rPr>
                <w:rFonts w:eastAsia="Times New Roman"/>
                <w:color w:val="000000"/>
                <w:sz w:val="20"/>
                <w:szCs w:val="20"/>
                <w:lang w:eastAsia="en-GB"/>
              </w:rPr>
            </w:pPr>
            <w:r w:rsidRPr="0049271D">
              <w:rPr>
                <w:rFonts w:eastAsia="Times New Roman"/>
                <w:color w:val="000000"/>
                <w:sz w:val="20"/>
                <w:szCs w:val="20"/>
                <w:lang w:eastAsia="en-GB"/>
              </w:rPr>
              <w:t>The percentage of HMOs licensed in the city</w:t>
            </w:r>
          </w:p>
        </w:tc>
        <w:tc>
          <w:tcPr>
            <w:tcW w:w="1061" w:type="dxa"/>
            <w:tcBorders>
              <w:top w:val="nil"/>
              <w:left w:val="single" w:sz="4" w:space="0" w:color="auto"/>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bCs/>
                <w:color w:val="000000"/>
                <w:sz w:val="20"/>
                <w:szCs w:val="20"/>
                <w:lang w:eastAsia="en-GB"/>
              </w:rPr>
            </w:pPr>
            <w:r w:rsidRPr="0049271D">
              <w:rPr>
                <w:rFonts w:eastAsia="Times New Roman"/>
                <w:b/>
                <w:bCs/>
                <w:color w:val="000000"/>
                <w:sz w:val="20"/>
                <w:szCs w:val="20"/>
                <w:lang w:eastAsia="en-GB"/>
              </w:rPr>
              <w:t> </w:t>
            </w:r>
            <w:r w:rsidRPr="0049271D">
              <w:rPr>
                <w:rFonts w:eastAsia="Times New Roman"/>
                <w:bCs/>
                <w:color w:val="000000"/>
                <w:sz w:val="20"/>
                <w:szCs w:val="20"/>
                <w:lang w:eastAsia="en-GB"/>
              </w:rPr>
              <w:t>70</w:t>
            </w:r>
          </w:p>
        </w:tc>
        <w:tc>
          <w:tcPr>
            <w:tcW w:w="980" w:type="dxa"/>
            <w:tcBorders>
              <w:top w:val="nil"/>
              <w:left w:val="nil"/>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color w:val="000000"/>
                <w:sz w:val="20"/>
                <w:szCs w:val="20"/>
                <w:lang w:eastAsia="en-GB"/>
              </w:rPr>
            </w:pPr>
            <w:r w:rsidRPr="0049271D">
              <w:rPr>
                <w:rFonts w:eastAsia="Times New Roman"/>
                <w:color w:val="000000"/>
                <w:sz w:val="20"/>
                <w:szCs w:val="20"/>
                <w:lang w:eastAsia="en-GB"/>
              </w:rPr>
              <w:t>75 </w:t>
            </w:r>
          </w:p>
        </w:tc>
        <w:tc>
          <w:tcPr>
            <w:tcW w:w="982" w:type="dxa"/>
            <w:tcBorders>
              <w:top w:val="nil"/>
              <w:left w:val="nil"/>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color w:val="000000"/>
                <w:sz w:val="20"/>
                <w:szCs w:val="20"/>
                <w:lang w:eastAsia="en-GB"/>
              </w:rPr>
            </w:pPr>
            <w:r w:rsidRPr="0049271D">
              <w:rPr>
                <w:rFonts w:eastAsia="Times New Roman"/>
                <w:color w:val="000000"/>
                <w:sz w:val="20"/>
                <w:szCs w:val="20"/>
                <w:lang w:eastAsia="en-GB"/>
              </w:rPr>
              <w:t>80 </w:t>
            </w:r>
          </w:p>
        </w:tc>
        <w:tc>
          <w:tcPr>
            <w:tcW w:w="1004" w:type="dxa"/>
            <w:tcBorders>
              <w:top w:val="nil"/>
              <w:left w:val="nil"/>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color w:val="000000"/>
                <w:sz w:val="20"/>
                <w:szCs w:val="20"/>
                <w:lang w:eastAsia="en-GB"/>
              </w:rPr>
            </w:pPr>
            <w:r w:rsidRPr="0049271D">
              <w:rPr>
                <w:rFonts w:eastAsia="Times New Roman"/>
                <w:color w:val="000000"/>
                <w:sz w:val="20"/>
                <w:szCs w:val="20"/>
                <w:lang w:eastAsia="en-GB"/>
              </w:rPr>
              <w:t> 85</w:t>
            </w:r>
          </w:p>
        </w:tc>
        <w:tc>
          <w:tcPr>
            <w:tcW w:w="2459" w:type="dxa"/>
            <w:tcBorders>
              <w:top w:val="nil"/>
              <w:left w:val="nil"/>
              <w:bottom w:val="single" w:sz="4" w:space="0" w:color="auto"/>
              <w:right w:val="single" w:sz="4" w:space="0" w:color="auto"/>
            </w:tcBorders>
            <w:shd w:val="clear" w:color="auto" w:fill="auto"/>
            <w:vAlign w:val="center"/>
            <w:hideMark/>
          </w:tcPr>
          <w:p w:rsidR="005B534F" w:rsidRPr="0049271D" w:rsidRDefault="005B534F" w:rsidP="005B534F">
            <w:pPr>
              <w:rPr>
                <w:rFonts w:eastAsia="Times New Roman"/>
                <w:color w:val="000000"/>
                <w:sz w:val="20"/>
                <w:szCs w:val="20"/>
                <w:lang w:eastAsia="en-GB"/>
              </w:rPr>
            </w:pPr>
            <w:r w:rsidRPr="0049271D">
              <w:rPr>
                <w:rFonts w:eastAsia="Times New Roman"/>
                <w:color w:val="000000"/>
                <w:sz w:val="20"/>
                <w:szCs w:val="20"/>
                <w:lang w:eastAsia="en-GB"/>
              </w:rPr>
              <w:t>Comparison with base figure of 5,240 derived from the census 2011</w:t>
            </w:r>
          </w:p>
        </w:tc>
        <w:tc>
          <w:tcPr>
            <w:tcW w:w="4193" w:type="dxa"/>
            <w:tcBorders>
              <w:top w:val="nil"/>
              <w:left w:val="nil"/>
              <w:bottom w:val="single" w:sz="4" w:space="0" w:color="auto"/>
              <w:right w:val="single" w:sz="4" w:space="0" w:color="auto"/>
            </w:tcBorders>
          </w:tcPr>
          <w:p w:rsidR="005B534F" w:rsidRPr="0049271D" w:rsidRDefault="005B534F" w:rsidP="005B534F">
            <w:pPr>
              <w:rPr>
                <w:rFonts w:eastAsia="Times New Roman"/>
                <w:color w:val="000000"/>
                <w:sz w:val="20"/>
                <w:szCs w:val="20"/>
                <w:lang w:eastAsia="en-GB"/>
              </w:rPr>
            </w:pPr>
            <w:r w:rsidRPr="0049271D">
              <w:rPr>
                <w:rFonts w:eastAsia="Times New Roman"/>
                <w:color w:val="000000"/>
                <w:sz w:val="20"/>
                <w:szCs w:val="20"/>
                <w:lang w:eastAsia="en-GB"/>
              </w:rPr>
              <w:t>The current level is 68% HMOs licensed.</w:t>
            </w:r>
          </w:p>
          <w:p w:rsidR="005B534F" w:rsidRDefault="005B534F" w:rsidP="005B534F">
            <w:pPr>
              <w:rPr>
                <w:rFonts w:eastAsia="Times New Roman"/>
                <w:color w:val="000000"/>
                <w:sz w:val="20"/>
                <w:szCs w:val="20"/>
                <w:lang w:eastAsia="en-GB"/>
              </w:rPr>
            </w:pPr>
          </w:p>
          <w:p w:rsidR="005B534F" w:rsidRPr="0049271D" w:rsidRDefault="005B534F" w:rsidP="005B534F">
            <w:pPr>
              <w:rPr>
                <w:rFonts w:eastAsia="Times New Roman"/>
                <w:color w:val="000000"/>
                <w:sz w:val="20"/>
                <w:szCs w:val="20"/>
                <w:lang w:eastAsia="en-GB"/>
              </w:rPr>
            </w:pPr>
            <w:r w:rsidRPr="0049271D">
              <w:rPr>
                <w:rFonts w:eastAsia="Times New Roman"/>
                <w:color w:val="000000"/>
                <w:sz w:val="20"/>
                <w:szCs w:val="20"/>
                <w:lang w:eastAsia="en-GB"/>
              </w:rPr>
              <w:t>Targets from PRS strategy adjusted in line with recommendation from Members.</w:t>
            </w:r>
          </w:p>
        </w:tc>
      </w:tr>
      <w:tr w:rsidR="005B534F" w:rsidRPr="0049271D" w:rsidTr="00BB3D44">
        <w:trPr>
          <w:trHeight w:val="1122"/>
        </w:trPr>
        <w:tc>
          <w:tcPr>
            <w:tcW w:w="4220" w:type="dxa"/>
            <w:tcBorders>
              <w:top w:val="single" w:sz="4" w:space="0" w:color="auto"/>
              <w:left w:val="single" w:sz="4" w:space="0" w:color="auto"/>
              <w:bottom w:val="single" w:sz="4" w:space="0" w:color="auto"/>
              <w:right w:val="nil"/>
            </w:tcBorders>
            <w:shd w:val="clear" w:color="auto" w:fill="auto"/>
            <w:vAlign w:val="center"/>
            <w:hideMark/>
          </w:tcPr>
          <w:p w:rsidR="005B534F" w:rsidRPr="0049271D" w:rsidRDefault="005B534F" w:rsidP="005B534F">
            <w:pPr>
              <w:rPr>
                <w:rFonts w:eastAsia="Times New Roman"/>
                <w:color w:val="000000"/>
                <w:sz w:val="20"/>
                <w:szCs w:val="20"/>
                <w:lang w:eastAsia="en-GB"/>
              </w:rPr>
            </w:pPr>
            <w:r w:rsidRPr="0049271D">
              <w:rPr>
                <w:sz w:val="20"/>
                <w:szCs w:val="20"/>
              </w:rPr>
              <w:br w:type="page"/>
            </w:r>
            <w:r w:rsidRPr="0049271D">
              <w:rPr>
                <w:rFonts w:eastAsia="Times New Roman"/>
                <w:color w:val="000000"/>
                <w:sz w:val="20"/>
                <w:szCs w:val="20"/>
                <w:lang w:eastAsia="en-GB"/>
              </w:rPr>
              <w:t>Limit our use of temporary accommodation at 2015 levels.</w:t>
            </w:r>
          </w:p>
          <w:p w:rsidR="005B534F" w:rsidRPr="0049271D" w:rsidRDefault="005B534F" w:rsidP="005B534F">
            <w:pPr>
              <w:rPr>
                <w:rFonts w:eastAsia="Times New Roman"/>
                <w:color w:val="000000"/>
                <w:sz w:val="20"/>
                <w:szCs w:val="20"/>
                <w:lang w:eastAsia="en-GB"/>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bCs/>
                <w:color w:val="000000"/>
                <w:sz w:val="20"/>
                <w:szCs w:val="20"/>
                <w:lang w:eastAsia="en-GB"/>
              </w:rPr>
            </w:pPr>
            <w:r w:rsidRPr="0049271D">
              <w:rPr>
                <w:rFonts w:eastAsia="Times New Roman"/>
                <w:bCs/>
                <w:color w:val="000000"/>
                <w:sz w:val="20"/>
                <w:szCs w:val="20"/>
                <w:lang w:eastAsia="en-GB"/>
              </w:rPr>
              <w:t>120 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color w:val="000000"/>
                <w:sz w:val="20"/>
                <w:szCs w:val="20"/>
                <w:lang w:eastAsia="en-GB"/>
              </w:rPr>
            </w:pPr>
            <w:r w:rsidRPr="0049271D">
              <w:rPr>
                <w:rFonts w:eastAsia="Times New Roman"/>
                <w:color w:val="000000"/>
                <w:sz w:val="20"/>
                <w:szCs w:val="20"/>
                <w:lang w:eastAsia="en-GB"/>
              </w:rPr>
              <w:t>120 </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color w:val="000000"/>
                <w:sz w:val="20"/>
                <w:szCs w:val="20"/>
                <w:lang w:eastAsia="en-GB"/>
              </w:rPr>
            </w:pPr>
            <w:r w:rsidRPr="0049271D">
              <w:rPr>
                <w:rFonts w:eastAsia="Times New Roman"/>
                <w:color w:val="000000"/>
                <w:sz w:val="20"/>
                <w:szCs w:val="20"/>
                <w:lang w:eastAsia="en-GB"/>
              </w:rPr>
              <w:t>120 </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5B534F" w:rsidRPr="0049271D" w:rsidRDefault="005B534F" w:rsidP="005B534F">
            <w:pPr>
              <w:jc w:val="center"/>
              <w:rPr>
                <w:rFonts w:eastAsia="Times New Roman"/>
                <w:color w:val="000000"/>
                <w:sz w:val="20"/>
                <w:szCs w:val="20"/>
                <w:lang w:eastAsia="en-GB"/>
              </w:rPr>
            </w:pPr>
            <w:r w:rsidRPr="0049271D">
              <w:rPr>
                <w:rFonts w:eastAsia="Times New Roman"/>
                <w:color w:val="000000"/>
                <w:sz w:val="20"/>
                <w:szCs w:val="20"/>
                <w:lang w:eastAsia="en-GB"/>
              </w:rPr>
              <w:t>120</w:t>
            </w:r>
          </w:p>
        </w:tc>
        <w:tc>
          <w:tcPr>
            <w:tcW w:w="2459" w:type="dxa"/>
            <w:tcBorders>
              <w:top w:val="single" w:sz="4" w:space="0" w:color="auto"/>
              <w:left w:val="nil"/>
              <w:bottom w:val="single" w:sz="4" w:space="0" w:color="auto"/>
              <w:right w:val="single" w:sz="4" w:space="0" w:color="auto"/>
            </w:tcBorders>
            <w:shd w:val="clear" w:color="auto" w:fill="auto"/>
            <w:vAlign w:val="center"/>
            <w:hideMark/>
          </w:tcPr>
          <w:p w:rsidR="005B534F" w:rsidRPr="0049271D" w:rsidRDefault="005B534F" w:rsidP="005B534F">
            <w:pPr>
              <w:rPr>
                <w:rFonts w:eastAsia="Times New Roman"/>
                <w:color w:val="000000"/>
                <w:sz w:val="20"/>
                <w:szCs w:val="20"/>
                <w:lang w:eastAsia="en-GB"/>
              </w:rPr>
            </w:pPr>
            <w:r w:rsidRPr="0049271D">
              <w:rPr>
                <w:rFonts w:eastAsia="Times New Roman"/>
                <w:color w:val="000000"/>
                <w:sz w:val="20"/>
                <w:szCs w:val="20"/>
                <w:lang w:eastAsia="en-GB"/>
              </w:rPr>
              <w:t xml:space="preserve">By counting how many we have in TA. </w:t>
            </w:r>
          </w:p>
        </w:tc>
        <w:tc>
          <w:tcPr>
            <w:tcW w:w="4193" w:type="dxa"/>
            <w:tcBorders>
              <w:top w:val="single" w:sz="4" w:space="0" w:color="auto"/>
              <w:left w:val="nil"/>
              <w:bottom w:val="single" w:sz="4" w:space="0" w:color="auto"/>
              <w:right w:val="single" w:sz="4" w:space="0" w:color="auto"/>
            </w:tcBorders>
          </w:tcPr>
          <w:p w:rsidR="005B534F" w:rsidRPr="0049271D" w:rsidRDefault="005B534F" w:rsidP="005B534F">
            <w:pPr>
              <w:rPr>
                <w:rFonts w:eastAsia="Times New Roman"/>
                <w:color w:val="000000"/>
                <w:sz w:val="20"/>
                <w:szCs w:val="20"/>
                <w:lang w:eastAsia="en-GB"/>
              </w:rPr>
            </w:pPr>
            <w:r w:rsidRPr="0049271D">
              <w:rPr>
                <w:rFonts w:eastAsia="Times New Roman"/>
                <w:color w:val="000000"/>
                <w:sz w:val="20"/>
                <w:szCs w:val="20"/>
                <w:lang w:eastAsia="en-GB"/>
              </w:rPr>
              <w:t xml:space="preserve">This includes real lettings where they are used for </w:t>
            </w:r>
            <w:proofErr w:type="gramStart"/>
            <w:r w:rsidRPr="0049271D">
              <w:rPr>
                <w:rFonts w:eastAsia="Times New Roman"/>
                <w:color w:val="000000"/>
                <w:sz w:val="20"/>
                <w:szCs w:val="20"/>
                <w:lang w:eastAsia="en-GB"/>
              </w:rPr>
              <w:t>TA,</w:t>
            </w:r>
            <w:proofErr w:type="gramEnd"/>
            <w:r w:rsidRPr="0049271D">
              <w:rPr>
                <w:rFonts w:eastAsia="Times New Roman"/>
                <w:color w:val="000000"/>
                <w:sz w:val="20"/>
                <w:szCs w:val="20"/>
                <w:lang w:eastAsia="en-GB"/>
              </w:rPr>
              <w:t xml:space="preserve"> their prime purpose is prevention of homelessness.  </w:t>
            </w:r>
          </w:p>
          <w:p w:rsidR="005B534F" w:rsidRPr="0049271D" w:rsidRDefault="005B534F" w:rsidP="005B534F">
            <w:pPr>
              <w:rPr>
                <w:rFonts w:eastAsia="Times New Roman"/>
                <w:color w:val="000000"/>
                <w:sz w:val="20"/>
                <w:szCs w:val="20"/>
                <w:lang w:eastAsia="en-GB"/>
              </w:rPr>
            </w:pPr>
          </w:p>
          <w:p w:rsidR="005B534F" w:rsidRPr="0049271D" w:rsidRDefault="005B534F" w:rsidP="005B534F">
            <w:pPr>
              <w:rPr>
                <w:rFonts w:eastAsia="Times New Roman"/>
                <w:color w:val="000000"/>
                <w:sz w:val="20"/>
                <w:szCs w:val="20"/>
                <w:lang w:eastAsia="en-GB"/>
              </w:rPr>
            </w:pPr>
            <w:r w:rsidRPr="0049271D">
              <w:rPr>
                <w:rFonts w:eastAsia="Times New Roman"/>
                <w:color w:val="000000"/>
                <w:sz w:val="20"/>
                <w:szCs w:val="20"/>
                <w:lang w:eastAsia="en-GB"/>
              </w:rPr>
              <w:t xml:space="preserve">This is a continuation of current target at 120.  </w:t>
            </w:r>
          </w:p>
          <w:p w:rsidR="005B534F" w:rsidRPr="0049271D" w:rsidRDefault="005B534F" w:rsidP="005B534F">
            <w:pPr>
              <w:rPr>
                <w:rFonts w:eastAsia="Times New Roman"/>
                <w:color w:val="000000"/>
                <w:sz w:val="20"/>
                <w:szCs w:val="20"/>
                <w:lang w:eastAsia="en-GB"/>
              </w:rPr>
            </w:pPr>
          </w:p>
          <w:p w:rsidR="005B534F" w:rsidRPr="0049271D" w:rsidRDefault="005B534F" w:rsidP="005B534F">
            <w:pPr>
              <w:rPr>
                <w:rFonts w:eastAsia="Times New Roman"/>
                <w:color w:val="000000"/>
                <w:sz w:val="20"/>
                <w:szCs w:val="20"/>
                <w:lang w:eastAsia="en-GB"/>
              </w:rPr>
            </w:pPr>
          </w:p>
        </w:tc>
      </w:tr>
      <w:tr w:rsidR="0049271D" w:rsidRPr="0049271D" w:rsidTr="00352A44">
        <w:trPr>
          <w:trHeight w:val="680"/>
        </w:trPr>
        <w:tc>
          <w:tcPr>
            <w:tcW w:w="14899" w:type="dxa"/>
            <w:gridSpan w:val="7"/>
            <w:tcBorders>
              <w:top w:val="nil"/>
              <w:left w:val="single" w:sz="4" w:space="0" w:color="auto"/>
              <w:bottom w:val="single" w:sz="4" w:space="0" w:color="auto"/>
              <w:right w:val="single" w:sz="4" w:space="0" w:color="auto"/>
            </w:tcBorders>
            <w:shd w:val="clear" w:color="auto" w:fill="000000" w:themeFill="text1"/>
            <w:vAlign w:val="center"/>
          </w:tcPr>
          <w:p w:rsidR="0049271D" w:rsidRPr="0049271D" w:rsidRDefault="0049271D" w:rsidP="0049271D">
            <w:pPr>
              <w:rPr>
                <w:rFonts w:eastAsia="Times New Roman"/>
                <w:b/>
                <w:color w:val="000000"/>
                <w:sz w:val="20"/>
                <w:szCs w:val="20"/>
                <w:lang w:eastAsia="en-GB"/>
              </w:rPr>
            </w:pPr>
            <w:r>
              <w:rPr>
                <w:b/>
                <w:highlight w:val="black"/>
              </w:rPr>
              <w:t>Clean and Green Oxford</w:t>
            </w:r>
          </w:p>
        </w:tc>
      </w:tr>
      <w:tr w:rsidR="0049271D" w:rsidRPr="0049271D" w:rsidTr="0049271D">
        <w:trPr>
          <w:trHeight w:val="839"/>
        </w:trPr>
        <w:tc>
          <w:tcPr>
            <w:tcW w:w="4220" w:type="dxa"/>
            <w:tcBorders>
              <w:top w:val="nil"/>
              <w:left w:val="single" w:sz="4" w:space="0" w:color="auto"/>
              <w:bottom w:val="single" w:sz="4" w:space="0" w:color="auto"/>
              <w:right w:val="single" w:sz="4" w:space="0" w:color="auto"/>
            </w:tcBorders>
            <w:shd w:val="clear" w:color="auto" w:fill="auto"/>
            <w:vAlign w:val="center"/>
            <w:hideMark/>
          </w:tcPr>
          <w:p w:rsidR="0049271D" w:rsidRPr="0049271D" w:rsidRDefault="0049271D" w:rsidP="0049271D">
            <w:pPr>
              <w:rPr>
                <w:rFonts w:eastAsia="Times New Roman"/>
                <w:color w:val="000000"/>
                <w:sz w:val="20"/>
                <w:szCs w:val="20"/>
                <w:lang w:eastAsia="en-GB"/>
              </w:rPr>
            </w:pPr>
            <w:r w:rsidRPr="0049271D">
              <w:rPr>
                <w:color w:val="000000"/>
                <w:sz w:val="20"/>
                <w:szCs w:val="20"/>
                <w:lang w:eastAsia="en-GB"/>
              </w:rPr>
              <w:t>The  amount of  non-recyclable waste produced in the city per household decreases each year</w:t>
            </w:r>
          </w:p>
        </w:tc>
        <w:tc>
          <w:tcPr>
            <w:tcW w:w="1061" w:type="dxa"/>
            <w:tcBorders>
              <w:top w:val="nil"/>
              <w:left w:val="single" w:sz="4" w:space="0" w:color="auto"/>
              <w:bottom w:val="single" w:sz="4" w:space="0" w:color="auto"/>
              <w:right w:val="single" w:sz="4" w:space="0" w:color="auto"/>
            </w:tcBorders>
            <w:shd w:val="clear" w:color="auto" w:fill="auto"/>
            <w:vAlign w:val="center"/>
            <w:hideMark/>
          </w:tcPr>
          <w:p w:rsidR="0049271D" w:rsidRPr="0049271D" w:rsidRDefault="0049271D" w:rsidP="0049271D">
            <w:pPr>
              <w:jc w:val="center"/>
              <w:rPr>
                <w:rFonts w:eastAsia="Times New Roman"/>
                <w:b/>
                <w:bCs/>
                <w:color w:val="000000"/>
                <w:sz w:val="20"/>
                <w:szCs w:val="20"/>
                <w:lang w:eastAsia="en-GB"/>
              </w:rPr>
            </w:pPr>
            <w:r w:rsidRPr="0049271D">
              <w:rPr>
                <w:rFonts w:eastAsia="Times New Roman"/>
                <w:b/>
                <w:bCs/>
                <w:color w:val="000000"/>
                <w:sz w:val="20"/>
                <w:szCs w:val="20"/>
                <w:lang w:eastAsia="en-GB"/>
              </w:rPr>
              <w:t> </w:t>
            </w:r>
            <w:r w:rsidRPr="0049271D">
              <w:rPr>
                <w:color w:val="000000"/>
                <w:sz w:val="20"/>
                <w:szCs w:val="20"/>
                <w:lang w:eastAsia="en-GB"/>
              </w:rPr>
              <w:t> 423Kg</w:t>
            </w:r>
          </w:p>
        </w:tc>
        <w:tc>
          <w:tcPr>
            <w:tcW w:w="980" w:type="dxa"/>
            <w:tcBorders>
              <w:top w:val="nil"/>
              <w:left w:val="nil"/>
              <w:bottom w:val="single" w:sz="4" w:space="0" w:color="auto"/>
              <w:right w:val="single" w:sz="4" w:space="0" w:color="auto"/>
            </w:tcBorders>
            <w:shd w:val="clear" w:color="auto" w:fill="auto"/>
            <w:vAlign w:val="center"/>
            <w:hideMark/>
          </w:tcPr>
          <w:p w:rsidR="0049271D" w:rsidRPr="0049271D" w:rsidRDefault="0049271D" w:rsidP="0049271D">
            <w:pPr>
              <w:jc w:val="center"/>
              <w:rPr>
                <w:rFonts w:eastAsia="Times New Roman"/>
                <w:color w:val="000000"/>
                <w:sz w:val="20"/>
                <w:szCs w:val="20"/>
                <w:lang w:eastAsia="en-GB"/>
              </w:rPr>
            </w:pPr>
            <w:r w:rsidRPr="0049271D">
              <w:rPr>
                <w:color w:val="000000"/>
                <w:sz w:val="20"/>
                <w:szCs w:val="20"/>
                <w:lang w:eastAsia="en-GB"/>
              </w:rPr>
              <w:t>421Kg </w:t>
            </w:r>
            <w:r w:rsidRPr="0049271D">
              <w:rPr>
                <w:rFonts w:eastAsia="Times New Roman"/>
                <w:color w:val="000000"/>
                <w:sz w:val="20"/>
                <w:szCs w:val="20"/>
                <w:lang w:eastAsia="en-GB"/>
              </w:rPr>
              <w:t> </w:t>
            </w:r>
          </w:p>
        </w:tc>
        <w:tc>
          <w:tcPr>
            <w:tcW w:w="982" w:type="dxa"/>
            <w:tcBorders>
              <w:top w:val="nil"/>
              <w:left w:val="nil"/>
              <w:bottom w:val="single" w:sz="4" w:space="0" w:color="auto"/>
              <w:right w:val="single" w:sz="4" w:space="0" w:color="auto"/>
            </w:tcBorders>
            <w:shd w:val="clear" w:color="auto" w:fill="auto"/>
            <w:vAlign w:val="center"/>
            <w:hideMark/>
          </w:tcPr>
          <w:p w:rsidR="0049271D" w:rsidRPr="0049271D" w:rsidRDefault="0049271D" w:rsidP="0049271D">
            <w:pPr>
              <w:jc w:val="center"/>
              <w:rPr>
                <w:rFonts w:eastAsia="Times New Roman"/>
                <w:color w:val="000000"/>
                <w:sz w:val="20"/>
                <w:szCs w:val="20"/>
                <w:lang w:eastAsia="en-GB"/>
              </w:rPr>
            </w:pPr>
            <w:r w:rsidRPr="0049271D">
              <w:rPr>
                <w:color w:val="000000"/>
                <w:sz w:val="20"/>
                <w:szCs w:val="20"/>
                <w:lang w:eastAsia="en-GB"/>
              </w:rPr>
              <w:t>419Kg</w:t>
            </w:r>
            <w:r w:rsidRPr="0049271D">
              <w:rPr>
                <w:rFonts w:eastAsia="Times New Roman"/>
                <w:color w:val="000000"/>
                <w:sz w:val="20"/>
                <w:szCs w:val="20"/>
                <w:lang w:eastAsia="en-GB"/>
              </w:rPr>
              <w:t> </w:t>
            </w:r>
          </w:p>
        </w:tc>
        <w:tc>
          <w:tcPr>
            <w:tcW w:w="1004" w:type="dxa"/>
            <w:tcBorders>
              <w:top w:val="nil"/>
              <w:left w:val="nil"/>
              <w:bottom w:val="single" w:sz="4" w:space="0" w:color="auto"/>
              <w:right w:val="single" w:sz="4" w:space="0" w:color="auto"/>
            </w:tcBorders>
            <w:shd w:val="clear" w:color="auto" w:fill="auto"/>
            <w:vAlign w:val="center"/>
            <w:hideMark/>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 </w:t>
            </w:r>
            <w:r w:rsidRPr="0049271D">
              <w:rPr>
                <w:color w:val="000000"/>
                <w:sz w:val="20"/>
                <w:szCs w:val="20"/>
                <w:lang w:eastAsia="en-GB"/>
              </w:rPr>
              <w:t> 418Kg</w:t>
            </w:r>
          </w:p>
        </w:tc>
        <w:tc>
          <w:tcPr>
            <w:tcW w:w="2459" w:type="dxa"/>
            <w:tcBorders>
              <w:top w:val="nil"/>
              <w:left w:val="nil"/>
              <w:bottom w:val="single" w:sz="4" w:space="0" w:color="auto"/>
              <w:right w:val="single" w:sz="4" w:space="0" w:color="auto"/>
            </w:tcBorders>
            <w:shd w:val="clear" w:color="auto" w:fill="auto"/>
            <w:vAlign w:val="center"/>
            <w:hideMark/>
          </w:tcPr>
          <w:p w:rsidR="0049271D" w:rsidRPr="0049271D" w:rsidRDefault="0049271D" w:rsidP="0049271D">
            <w:pPr>
              <w:rPr>
                <w:rFonts w:eastAsia="Times New Roman"/>
                <w:color w:val="000000"/>
                <w:sz w:val="20"/>
                <w:szCs w:val="20"/>
                <w:lang w:eastAsia="en-GB"/>
              </w:rPr>
            </w:pPr>
            <w:r w:rsidRPr="0049271D">
              <w:rPr>
                <w:rFonts w:eastAsia="Times New Roman"/>
                <w:color w:val="000000"/>
                <w:sz w:val="20"/>
                <w:szCs w:val="20"/>
                <w:lang w:eastAsia="en-GB"/>
              </w:rPr>
              <w:t>Monthly  </w:t>
            </w:r>
            <w:r w:rsidRPr="0049271D">
              <w:rPr>
                <w:color w:val="000000"/>
                <w:sz w:val="20"/>
                <w:szCs w:val="20"/>
                <w:lang w:eastAsia="en-GB"/>
              </w:rPr>
              <w:t>NI191 result - amount of non-recyclable waste produced per household</w:t>
            </w:r>
          </w:p>
        </w:tc>
        <w:tc>
          <w:tcPr>
            <w:tcW w:w="4193" w:type="dxa"/>
            <w:tcBorders>
              <w:top w:val="nil"/>
              <w:left w:val="nil"/>
              <w:bottom w:val="single" w:sz="4" w:space="0" w:color="auto"/>
              <w:right w:val="single" w:sz="4" w:space="0" w:color="auto"/>
            </w:tcBorders>
          </w:tcPr>
          <w:p w:rsidR="0049271D" w:rsidRPr="0049271D" w:rsidRDefault="0049271D" w:rsidP="0049271D">
            <w:pPr>
              <w:rPr>
                <w:rFonts w:eastAsia="Times New Roman"/>
                <w:color w:val="000000"/>
                <w:sz w:val="20"/>
                <w:szCs w:val="20"/>
                <w:lang w:eastAsia="en-GB"/>
              </w:rPr>
            </w:pPr>
            <w:r w:rsidRPr="0049271D">
              <w:rPr>
                <w:rFonts w:eastAsia="Times New Roman"/>
                <w:color w:val="000000"/>
                <w:sz w:val="20"/>
                <w:szCs w:val="20"/>
                <w:lang w:eastAsia="en-GB"/>
              </w:rPr>
              <w:t xml:space="preserve">This continues trend from previous </w:t>
            </w:r>
            <w:proofErr w:type="gramStart"/>
            <w:r w:rsidRPr="0049271D">
              <w:rPr>
                <w:rFonts w:eastAsia="Times New Roman"/>
                <w:color w:val="000000"/>
                <w:sz w:val="20"/>
                <w:szCs w:val="20"/>
                <w:lang w:eastAsia="en-GB"/>
              </w:rPr>
              <w:t>targets  -</w:t>
            </w:r>
            <w:proofErr w:type="gramEnd"/>
            <w:r w:rsidRPr="0049271D">
              <w:rPr>
                <w:rFonts w:eastAsia="Times New Roman"/>
                <w:color w:val="000000"/>
                <w:sz w:val="20"/>
                <w:szCs w:val="20"/>
                <w:lang w:eastAsia="en-GB"/>
              </w:rPr>
              <w:t>current year target  for 2015/16 is 425 kg per household.</w:t>
            </w:r>
          </w:p>
        </w:tc>
      </w:tr>
      <w:tr w:rsidR="0049271D" w:rsidRPr="0049271D" w:rsidTr="0049271D">
        <w:trPr>
          <w:trHeight w:val="709"/>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49271D" w:rsidRPr="0049271D" w:rsidRDefault="0049271D" w:rsidP="0049271D">
            <w:pPr>
              <w:rPr>
                <w:rFonts w:eastAsia="Times New Roman"/>
                <w:color w:val="000000"/>
                <w:sz w:val="20"/>
                <w:szCs w:val="20"/>
                <w:lang w:eastAsia="en-GB"/>
              </w:rPr>
            </w:pPr>
            <w:r w:rsidRPr="0049271D">
              <w:rPr>
                <w:rFonts w:eastAsia="Times New Roman"/>
                <w:color w:val="000000"/>
                <w:sz w:val="20"/>
                <w:szCs w:val="20"/>
                <w:lang w:eastAsia="en-GB"/>
              </w:rPr>
              <w:t>Satisfaction with our street cleaning services</w:t>
            </w:r>
          </w:p>
        </w:tc>
        <w:tc>
          <w:tcPr>
            <w:tcW w:w="1061" w:type="dxa"/>
            <w:tcBorders>
              <w:top w:val="nil"/>
              <w:left w:val="single" w:sz="4" w:space="0" w:color="auto"/>
              <w:bottom w:val="single" w:sz="4" w:space="0" w:color="auto"/>
              <w:right w:val="single" w:sz="4" w:space="0" w:color="auto"/>
            </w:tcBorders>
            <w:shd w:val="clear" w:color="auto" w:fill="auto"/>
            <w:vAlign w:val="center"/>
            <w:hideMark/>
          </w:tcPr>
          <w:p w:rsidR="0049271D" w:rsidRPr="0049271D" w:rsidRDefault="0049271D" w:rsidP="0049271D">
            <w:pPr>
              <w:jc w:val="center"/>
              <w:rPr>
                <w:rFonts w:eastAsia="Times New Roman"/>
                <w:bCs/>
                <w:color w:val="000000"/>
                <w:sz w:val="20"/>
                <w:szCs w:val="20"/>
                <w:lang w:eastAsia="en-GB"/>
              </w:rPr>
            </w:pPr>
            <w:r w:rsidRPr="0049271D">
              <w:rPr>
                <w:rFonts w:eastAsia="Times New Roman"/>
                <w:bCs/>
                <w:color w:val="000000"/>
                <w:sz w:val="20"/>
                <w:szCs w:val="20"/>
                <w:lang w:eastAsia="en-GB"/>
              </w:rPr>
              <w:t>76% </w:t>
            </w:r>
          </w:p>
        </w:tc>
        <w:tc>
          <w:tcPr>
            <w:tcW w:w="980" w:type="dxa"/>
            <w:tcBorders>
              <w:top w:val="nil"/>
              <w:left w:val="nil"/>
              <w:bottom w:val="single" w:sz="4" w:space="0" w:color="auto"/>
              <w:right w:val="single" w:sz="4" w:space="0" w:color="auto"/>
            </w:tcBorders>
            <w:shd w:val="clear" w:color="auto" w:fill="auto"/>
            <w:vAlign w:val="center"/>
            <w:hideMark/>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76% </w:t>
            </w:r>
          </w:p>
        </w:tc>
        <w:tc>
          <w:tcPr>
            <w:tcW w:w="982" w:type="dxa"/>
            <w:tcBorders>
              <w:top w:val="nil"/>
              <w:left w:val="nil"/>
              <w:bottom w:val="single" w:sz="4" w:space="0" w:color="auto"/>
              <w:right w:val="single" w:sz="4" w:space="0" w:color="auto"/>
            </w:tcBorders>
            <w:shd w:val="clear" w:color="auto" w:fill="auto"/>
            <w:vAlign w:val="center"/>
            <w:hideMark/>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77% </w:t>
            </w:r>
          </w:p>
        </w:tc>
        <w:tc>
          <w:tcPr>
            <w:tcW w:w="1004" w:type="dxa"/>
            <w:tcBorders>
              <w:top w:val="nil"/>
              <w:left w:val="nil"/>
              <w:bottom w:val="single" w:sz="4" w:space="0" w:color="auto"/>
              <w:right w:val="single" w:sz="4" w:space="0" w:color="auto"/>
            </w:tcBorders>
            <w:shd w:val="clear" w:color="auto" w:fill="auto"/>
            <w:vAlign w:val="center"/>
            <w:hideMark/>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77% </w:t>
            </w:r>
          </w:p>
        </w:tc>
        <w:tc>
          <w:tcPr>
            <w:tcW w:w="2459" w:type="dxa"/>
            <w:tcBorders>
              <w:top w:val="nil"/>
              <w:left w:val="nil"/>
              <w:bottom w:val="single" w:sz="4" w:space="0" w:color="auto"/>
              <w:right w:val="single" w:sz="4" w:space="0" w:color="auto"/>
            </w:tcBorders>
            <w:shd w:val="clear" w:color="auto" w:fill="auto"/>
            <w:vAlign w:val="center"/>
            <w:hideMark/>
          </w:tcPr>
          <w:p w:rsidR="0049271D" w:rsidRPr="0049271D" w:rsidRDefault="0049271D" w:rsidP="0049271D">
            <w:pPr>
              <w:rPr>
                <w:rFonts w:eastAsia="Times New Roman"/>
                <w:color w:val="000000"/>
                <w:sz w:val="20"/>
                <w:szCs w:val="20"/>
                <w:lang w:eastAsia="en-GB"/>
              </w:rPr>
            </w:pPr>
            <w:proofErr w:type="spellStart"/>
            <w:r w:rsidRPr="0049271D">
              <w:rPr>
                <w:rFonts w:eastAsia="Times New Roman"/>
                <w:color w:val="000000"/>
                <w:sz w:val="20"/>
                <w:szCs w:val="20"/>
                <w:lang w:eastAsia="en-GB"/>
              </w:rPr>
              <w:t>Streetscene</w:t>
            </w:r>
            <w:proofErr w:type="spellEnd"/>
            <w:r w:rsidRPr="0049271D">
              <w:rPr>
                <w:rFonts w:eastAsia="Times New Roman"/>
                <w:color w:val="000000"/>
                <w:sz w:val="20"/>
                <w:szCs w:val="20"/>
                <w:lang w:eastAsia="en-GB"/>
              </w:rPr>
              <w:t xml:space="preserve"> Satisfaction Survey from LGA compliant Residents’ Survey; carried out on a bi-annual basis. Next survey due for completion in 2016/17.</w:t>
            </w:r>
          </w:p>
        </w:tc>
        <w:tc>
          <w:tcPr>
            <w:tcW w:w="4193" w:type="dxa"/>
            <w:tcBorders>
              <w:top w:val="nil"/>
              <w:left w:val="nil"/>
              <w:bottom w:val="single" w:sz="4" w:space="0" w:color="auto"/>
              <w:right w:val="single" w:sz="4" w:space="0" w:color="auto"/>
            </w:tcBorders>
          </w:tcPr>
          <w:p w:rsidR="0049271D" w:rsidRPr="0049271D" w:rsidRDefault="0049271D" w:rsidP="0049271D">
            <w:pPr>
              <w:rPr>
                <w:rFonts w:eastAsia="Times New Roman"/>
                <w:color w:val="000000"/>
                <w:sz w:val="20"/>
                <w:szCs w:val="20"/>
                <w:lang w:eastAsia="en-GB"/>
              </w:rPr>
            </w:pPr>
          </w:p>
          <w:p w:rsidR="0049271D" w:rsidRPr="0049271D" w:rsidRDefault="0049271D" w:rsidP="0049271D">
            <w:pPr>
              <w:rPr>
                <w:rFonts w:eastAsia="Times New Roman"/>
                <w:color w:val="000000"/>
                <w:sz w:val="20"/>
                <w:szCs w:val="20"/>
                <w:lang w:eastAsia="en-GB"/>
              </w:rPr>
            </w:pPr>
          </w:p>
          <w:p w:rsidR="0049271D" w:rsidRPr="0049271D" w:rsidRDefault="0049271D" w:rsidP="0049271D">
            <w:pPr>
              <w:rPr>
                <w:rFonts w:eastAsia="Times New Roman"/>
                <w:color w:val="000000"/>
                <w:sz w:val="20"/>
                <w:szCs w:val="20"/>
                <w:lang w:eastAsia="en-GB"/>
              </w:rPr>
            </w:pPr>
            <w:r w:rsidRPr="0049271D">
              <w:rPr>
                <w:rFonts w:eastAsia="Times New Roman"/>
                <w:bCs/>
                <w:color w:val="000000"/>
                <w:sz w:val="20"/>
                <w:szCs w:val="20"/>
                <w:lang w:eastAsia="en-GB"/>
              </w:rPr>
              <w:t>Current performance is 78.78% from last survey</w:t>
            </w:r>
          </w:p>
        </w:tc>
      </w:tr>
      <w:tr w:rsidR="0049271D" w:rsidRPr="0049271D" w:rsidTr="005B534F">
        <w:trPr>
          <w:trHeight w:val="1106"/>
        </w:trPr>
        <w:tc>
          <w:tcPr>
            <w:tcW w:w="4220" w:type="dxa"/>
            <w:tcBorders>
              <w:top w:val="nil"/>
              <w:left w:val="single" w:sz="4" w:space="0" w:color="auto"/>
              <w:bottom w:val="single" w:sz="4" w:space="0" w:color="auto"/>
              <w:right w:val="single" w:sz="4" w:space="0" w:color="auto"/>
            </w:tcBorders>
            <w:shd w:val="clear" w:color="auto" w:fill="auto"/>
            <w:noWrap/>
            <w:vAlign w:val="center"/>
          </w:tcPr>
          <w:p w:rsidR="0049271D" w:rsidRPr="0049271D" w:rsidRDefault="0049271D" w:rsidP="0049271D">
            <w:pPr>
              <w:rPr>
                <w:sz w:val="20"/>
                <w:szCs w:val="20"/>
              </w:rPr>
            </w:pPr>
            <w:r w:rsidRPr="0049271D">
              <w:rPr>
                <w:rFonts w:eastAsia="Times New Roman"/>
                <w:color w:val="000000"/>
                <w:sz w:val="20"/>
                <w:szCs w:val="20"/>
                <w:lang w:eastAsia="en-GB"/>
              </w:rPr>
              <w:lastRenderedPageBreak/>
              <w:t>Implementation of measures to reduce the City Council’s carbon footprint by 5% each year</w:t>
            </w:r>
          </w:p>
          <w:p w:rsidR="0049271D" w:rsidRPr="0049271D" w:rsidRDefault="0049271D" w:rsidP="0049271D">
            <w:pPr>
              <w:pStyle w:val="Default"/>
              <w:rPr>
                <w:rFonts w:eastAsia="Times New Roman"/>
                <w:sz w:val="20"/>
                <w:szCs w:val="20"/>
                <w:lang w:eastAsia="en-GB"/>
              </w:rPr>
            </w:pPr>
          </w:p>
          <w:p w:rsidR="0049271D" w:rsidRPr="0049271D" w:rsidRDefault="0049271D" w:rsidP="0049271D">
            <w:pPr>
              <w:rPr>
                <w:rFonts w:eastAsia="Symbol"/>
                <w:color w:val="000000"/>
                <w:sz w:val="20"/>
                <w:szCs w:val="20"/>
                <w:lang w:eastAsia="en-GB"/>
              </w:rPr>
            </w:pPr>
          </w:p>
        </w:tc>
        <w:tc>
          <w:tcPr>
            <w:tcW w:w="1061" w:type="dxa"/>
            <w:tcBorders>
              <w:top w:val="nil"/>
              <w:left w:val="single" w:sz="4" w:space="0" w:color="auto"/>
              <w:bottom w:val="single" w:sz="4" w:space="0" w:color="auto"/>
              <w:right w:val="single" w:sz="4" w:space="0" w:color="auto"/>
            </w:tcBorders>
            <w:shd w:val="clear" w:color="auto" w:fill="auto"/>
            <w:vAlign w:val="center"/>
          </w:tcPr>
          <w:p w:rsidR="0049271D" w:rsidRPr="0049271D" w:rsidRDefault="0049271D" w:rsidP="0049271D">
            <w:pPr>
              <w:pStyle w:val="Default"/>
              <w:rPr>
                <w:rFonts w:eastAsia="Times New Roman"/>
                <w:sz w:val="20"/>
                <w:szCs w:val="20"/>
                <w:lang w:eastAsia="en-GB"/>
              </w:rPr>
            </w:pPr>
            <w:r w:rsidRPr="0049271D">
              <w:rPr>
                <w:rFonts w:eastAsia="Times New Roman"/>
                <w:sz w:val="20"/>
                <w:szCs w:val="20"/>
                <w:lang w:eastAsia="en-GB"/>
              </w:rPr>
              <w:t xml:space="preserve">   5%</w:t>
            </w:r>
          </w:p>
          <w:p w:rsidR="0049271D" w:rsidRPr="0049271D" w:rsidRDefault="0049271D" w:rsidP="0049271D">
            <w:pPr>
              <w:pStyle w:val="Default"/>
              <w:rPr>
                <w:rFonts w:eastAsia="Times New Roman"/>
                <w:bCs/>
                <w:sz w:val="20"/>
                <w:szCs w:val="20"/>
                <w:lang w:eastAsia="en-GB"/>
              </w:rPr>
            </w:pPr>
          </w:p>
        </w:tc>
        <w:tc>
          <w:tcPr>
            <w:tcW w:w="980" w:type="dxa"/>
            <w:tcBorders>
              <w:top w:val="nil"/>
              <w:left w:val="nil"/>
              <w:bottom w:val="single" w:sz="4" w:space="0" w:color="auto"/>
              <w:right w:val="single" w:sz="4" w:space="0" w:color="auto"/>
            </w:tcBorders>
            <w:shd w:val="clear" w:color="auto" w:fill="auto"/>
            <w:vAlign w:val="center"/>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 xml:space="preserve">5% </w:t>
            </w:r>
          </w:p>
          <w:p w:rsidR="0049271D" w:rsidRPr="0049271D" w:rsidRDefault="0049271D" w:rsidP="0049271D">
            <w:pPr>
              <w:jc w:val="center"/>
              <w:rPr>
                <w:rFonts w:eastAsia="Times New Roman"/>
                <w:color w:val="000000"/>
                <w:sz w:val="20"/>
                <w:szCs w:val="20"/>
                <w:lang w:eastAsia="en-GB"/>
              </w:rPr>
            </w:pPr>
          </w:p>
        </w:tc>
        <w:tc>
          <w:tcPr>
            <w:tcW w:w="982" w:type="dxa"/>
            <w:tcBorders>
              <w:top w:val="nil"/>
              <w:left w:val="nil"/>
              <w:bottom w:val="single" w:sz="4" w:space="0" w:color="auto"/>
              <w:right w:val="single" w:sz="4" w:space="0" w:color="auto"/>
            </w:tcBorders>
            <w:shd w:val="clear" w:color="auto" w:fill="auto"/>
            <w:vAlign w:val="center"/>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 xml:space="preserve">5% </w:t>
            </w:r>
          </w:p>
          <w:p w:rsidR="0049271D" w:rsidRPr="0049271D" w:rsidRDefault="0049271D" w:rsidP="0049271D">
            <w:pPr>
              <w:jc w:val="center"/>
              <w:rPr>
                <w:rFonts w:eastAsia="Times New Roman"/>
                <w:color w:val="000000"/>
                <w:sz w:val="20"/>
                <w:szCs w:val="20"/>
                <w:lang w:eastAsia="en-GB"/>
              </w:rPr>
            </w:pPr>
          </w:p>
        </w:tc>
        <w:tc>
          <w:tcPr>
            <w:tcW w:w="1004" w:type="dxa"/>
            <w:tcBorders>
              <w:top w:val="nil"/>
              <w:left w:val="nil"/>
              <w:bottom w:val="single" w:sz="4" w:space="0" w:color="auto"/>
              <w:right w:val="single" w:sz="4" w:space="0" w:color="auto"/>
            </w:tcBorders>
            <w:shd w:val="clear" w:color="auto" w:fill="auto"/>
            <w:vAlign w:val="center"/>
          </w:tcPr>
          <w:p w:rsidR="0049271D" w:rsidRPr="0049271D" w:rsidRDefault="0049271D" w:rsidP="0049271D">
            <w:pPr>
              <w:jc w:val="center"/>
              <w:rPr>
                <w:rFonts w:eastAsia="Times New Roman"/>
                <w:color w:val="000000"/>
                <w:sz w:val="20"/>
                <w:szCs w:val="20"/>
                <w:lang w:eastAsia="en-GB"/>
              </w:rPr>
            </w:pPr>
            <w:r w:rsidRPr="0049271D">
              <w:rPr>
                <w:rFonts w:eastAsia="Times New Roman"/>
                <w:color w:val="000000"/>
                <w:sz w:val="20"/>
                <w:szCs w:val="20"/>
                <w:lang w:eastAsia="en-GB"/>
              </w:rPr>
              <w:t xml:space="preserve">5% </w:t>
            </w:r>
          </w:p>
          <w:p w:rsidR="0049271D" w:rsidRPr="0049271D" w:rsidRDefault="0049271D" w:rsidP="0049271D">
            <w:pPr>
              <w:jc w:val="center"/>
              <w:rPr>
                <w:rFonts w:eastAsia="Times New Roman"/>
                <w:color w:val="000000"/>
                <w:sz w:val="20"/>
                <w:szCs w:val="20"/>
                <w:lang w:eastAsia="en-GB"/>
              </w:rPr>
            </w:pPr>
          </w:p>
        </w:tc>
        <w:tc>
          <w:tcPr>
            <w:tcW w:w="2459" w:type="dxa"/>
            <w:tcBorders>
              <w:top w:val="nil"/>
              <w:left w:val="nil"/>
              <w:bottom w:val="single" w:sz="4" w:space="0" w:color="auto"/>
              <w:right w:val="single" w:sz="4" w:space="0" w:color="auto"/>
            </w:tcBorders>
            <w:shd w:val="clear" w:color="auto" w:fill="auto"/>
            <w:vAlign w:val="center"/>
          </w:tcPr>
          <w:p w:rsidR="0049271D" w:rsidRPr="0049271D" w:rsidRDefault="0049271D" w:rsidP="0049271D">
            <w:pPr>
              <w:rPr>
                <w:rFonts w:eastAsia="Times New Roman"/>
                <w:color w:val="000000"/>
                <w:sz w:val="20"/>
                <w:szCs w:val="20"/>
                <w:lang w:eastAsia="en-GB"/>
              </w:rPr>
            </w:pPr>
          </w:p>
          <w:p w:rsidR="0049271D" w:rsidRPr="0049271D" w:rsidRDefault="0049271D" w:rsidP="0049271D">
            <w:pPr>
              <w:rPr>
                <w:rFonts w:eastAsia="Times New Roman"/>
                <w:color w:val="000000"/>
                <w:sz w:val="20"/>
                <w:szCs w:val="20"/>
                <w:lang w:eastAsia="en-GB"/>
              </w:rPr>
            </w:pPr>
            <w:r w:rsidRPr="0049271D">
              <w:rPr>
                <w:rFonts w:eastAsia="Times New Roman"/>
                <w:color w:val="000000"/>
                <w:sz w:val="20"/>
                <w:szCs w:val="20"/>
                <w:lang w:eastAsia="en-GB"/>
              </w:rPr>
              <w:t xml:space="preserve">We report the calculated annual reduction in CO2 emissions resulting from measures put into effect during the year. </w:t>
            </w:r>
          </w:p>
        </w:tc>
        <w:tc>
          <w:tcPr>
            <w:tcW w:w="4193" w:type="dxa"/>
            <w:tcBorders>
              <w:top w:val="nil"/>
              <w:left w:val="nil"/>
              <w:bottom w:val="single" w:sz="4" w:space="0" w:color="auto"/>
              <w:right w:val="single" w:sz="4" w:space="0" w:color="auto"/>
            </w:tcBorders>
          </w:tcPr>
          <w:p w:rsidR="0049271D" w:rsidRPr="0049271D" w:rsidRDefault="0049271D" w:rsidP="0049271D">
            <w:pPr>
              <w:rPr>
                <w:rFonts w:eastAsia="Times New Roman"/>
                <w:color w:val="000000"/>
                <w:sz w:val="20"/>
                <w:szCs w:val="20"/>
                <w:lang w:eastAsia="en-GB"/>
              </w:rPr>
            </w:pPr>
          </w:p>
          <w:p w:rsidR="0049271D" w:rsidRPr="0049271D" w:rsidRDefault="0049271D" w:rsidP="0049271D">
            <w:pPr>
              <w:rPr>
                <w:sz w:val="20"/>
                <w:szCs w:val="20"/>
                <w:lang w:eastAsia="en-GB"/>
              </w:rPr>
            </w:pPr>
            <w:r w:rsidRPr="0049271D">
              <w:rPr>
                <w:rFonts w:eastAsia="Times New Roman"/>
                <w:color w:val="000000"/>
                <w:sz w:val="20"/>
                <w:szCs w:val="20"/>
                <w:lang w:eastAsia="en-GB"/>
              </w:rPr>
              <w:t xml:space="preserve">This is continuation of existing target of 5% reduction year on year. The measure gives a direct indication of progress and activity in implementing carbon reduction measures in buildings and operations across the City Council estate. </w:t>
            </w:r>
          </w:p>
          <w:p w:rsidR="0049271D" w:rsidRPr="0049271D" w:rsidRDefault="0049271D" w:rsidP="0049271D">
            <w:pPr>
              <w:rPr>
                <w:rFonts w:eastAsia="Times New Roman"/>
                <w:color w:val="000000"/>
                <w:sz w:val="20"/>
                <w:szCs w:val="20"/>
                <w:lang w:eastAsia="en-GB"/>
              </w:rPr>
            </w:pPr>
          </w:p>
        </w:tc>
      </w:tr>
      <w:tr w:rsidR="005B534F" w:rsidRPr="0049271D" w:rsidTr="005B534F">
        <w:trPr>
          <w:trHeight w:val="684"/>
        </w:trPr>
        <w:tc>
          <w:tcPr>
            <w:tcW w:w="14899" w:type="dxa"/>
            <w:gridSpan w:val="7"/>
            <w:tcBorders>
              <w:top w:val="single" w:sz="4" w:space="0" w:color="auto"/>
              <w:left w:val="single" w:sz="4" w:space="0" w:color="auto"/>
              <w:bottom w:val="single" w:sz="4" w:space="0" w:color="auto"/>
              <w:right w:val="single" w:sz="4" w:space="0" w:color="auto"/>
            </w:tcBorders>
            <w:shd w:val="solid" w:color="auto" w:fill="auto"/>
            <w:vAlign w:val="center"/>
          </w:tcPr>
          <w:p w:rsidR="005B534F" w:rsidRPr="005B534F" w:rsidRDefault="005B534F" w:rsidP="0049271D">
            <w:pPr>
              <w:rPr>
                <w:rFonts w:eastAsia="Times New Roman"/>
                <w:b/>
                <w:color w:val="000000"/>
                <w:lang w:eastAsia="en-GB"/>
              </w:rPr>
            </w:pPr>
            <w:r w:rsidRPr="005B534F">
              <w:rPr>
                <w:rFonts w:eastAsia="Times New Roman"/>
                <w:b/>
                <w:color w:val="FFFFFF" w:themeColor="background1"/>
                <w:lang w:eastAsia="en-GB"/>
              </w:rPr>
              <w:t>Strong and Active Communities</w:t>
            </w:r>
          </w:p>
        </w:tc>
      </w:tr>
      <w:tr w:rsidR="004E6F7A" w:rsidRPr="0049271D" w:rsidTr="004E6F7A">
        <w:trPr>
          <w:trHeight w:val="954"/>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 xml:space="preserve">Resident satisfaction with their area as a place to live </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81% </w:t>
            </w:r>
          </w:p>
        </w:tc>
        <w:tc>
          <w:tcPr>
            <w:tcW w:w="980"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 &gt;81%</w:t>
            </w:r>
          </w:p>
        </w:tc>
        <w:tc>
          <w:tcPr>
            <w:tcW w:w="982"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 &gt;81%</w:t>
            </w:r>
          </w:p>
        </w:tc>
        <w:tc>
          <w:tcPr>
            <w:tcW w:w="1004"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 &gt;81%</w:t>
            </w:r>
          </w:p>
        </w:tc>
        <w:tc>
          <w:tcPr>
            <w:tcW w:w="2459"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 xml:space="preserve"> LGA compliant Residents’ Survey; carried out on a bi-annual basis from 2014/15. Survey therefore due for completion in 2016/17. </w:t>
            </w:r>
          </w:p>
        </w:tc>
        <w:tc>
          <w:tcPr>
            <w:tcW w:w="4193" w:type="dxa"/>
            <w:tcBorders>
              <w:top w:val="single" w:sz="4" w:space="0" w:color="auto"/>
              <w:left w:val="nil"/>
              <w:bottom w:val="single" w:sz="4" w:space="0" w:color="auto"/>
              <w:right w:val="single" w:sz="4" w:space="0" w:color="auto"/>
            </w:tcBorders>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Current achievement is 80%</w:t>
            </w:r>
          </w:p>
        </w:tc>
      </w:tr>
      <w:tr w:rsidR="004E6F7A" w:rsidRPr="0049271D" w:rsidTr="004E6F7A">
        <w:trPr>
          <w:trHeight w:val="982"/>
        </w:trPr>
        <w:tc>
          <w:tcPr>
            <w:tcW w:w="4220" w:type="dxa"/>
            <w:tcBorders>
              <w:top w:val="nil"/>
              <w:left w:val="single" w:sz="4" w:space="0" w:color="auto"/>
              <w:bottom w:val="single" w:sz="4" w:space="0" w:color="auto"/>
              <w:right w:val="single" w:sz="4" w:space="0" w:color="auto"/>
            </w:tcBorders>
            <w:shd w:val="clear" w:color="000000" w:fill="FFFFFF"/>
            <w:vAlign w:val="center"/>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The number of people taking part in our Youth Ambition programme</w:t>
            </w:r>
          </w:p>
        </w:tc>
        <w:tc>
          <w:tcPr>
            <w:tcW w:w="1061" w:type="dxa"/>
            <w:tcBorders>
              <w:top w:val="nil"/>
              <w:left w:val="single" w:sz="4" w:space="0" w:color="auto"/>
              <w:bottom w:val="single" w:sz="4" w:space="0" w:color="auto"/>
              <w:right w:val="single" w:sz="4" w:space="0" w:color="auto"/>
            </w:tcBorders>
            <w:shd w:val="clear" w:color="000000" w:fill="FFFFFF"/>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 5,500</w:t>
            </w:r>
          </w:p>
        </w:tc>
        <w:tc>
          <w:tcPr>
            <w:tcW w:w="980" w:type="dxa"/>
            <w:tcBorders>
              <w:top w:val="nil"/>
              <w:left w:val="nil"/>
              <w:bottom w:val="single" w:sz="4" w:space="0" w:color="auto"/>
              <w:right w:val="single" w:sz="4" w:space="0" w:color="auto"/>
            </w:tcBorders>
            <w:shd w:val="clear" w:color="000000" w:fill="FFFFFF"/>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 5,700</w:t>
            </w:r>
          </w:p>
        </w:tc>
        <w:tc>
          <w:tcPr>
            <w:tcW w:w="982" w:type="dxa"/>
            <w:tcBorders>
              <w:top w:val="nil"/>
              <w:left w:val="nil"/>
              <w:bottom w:val="single" w:sz="4" w:space="0" w:color="auto"/>
              <w:right w:val="single" w:sz="4" w:space="0" w:color="auto"/>
            </w:tcBorders>
            <w:shd w:val="clear" w:color="000000" w:fill="FFFFFF"/>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&gt;5,700 </w:t>
            </w:r>
          </w:p>
        </w:tc>
        <w:tc>
          <w:tcPr>
            <w:tcW w:w="1004" w:type="dxa"/>
            <w:tcBorders>
              <w:top w:val="nil"/>
              <w:left w:val="nil"/>
              <w:bottom w:val="single" w:sz="4" w:space="0" w:color="auto"/>
              <w:right w:val="single" w:sz="4"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 &gt;5,700</w:t>
            </w:r>
          </w:p>
        </w:tc>
        <w:tc>
          <w:tcPr>
            <w:tcW w:w="2459" w:type="dxa"/>
            <w:tcBorders>
              <w:top w:val="nil"/>
              <w:left w:val="nil"/>
              <w:bottom w:val="single" w:sz="4" w:space="0" w:color="auto"/>
              <w:right w:val="single" w:sz="4" w:space="0" w:color="auto"/>
            </w:tcBorders>
            <w:shd w:val="clear" w:color="000000" w:fill="FFFFFF"/>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Participant data across the Youth Ambition delivery programme </w:t>
            </w:r>
          </w:p>
        </w:tc>
        <w:tc>
          <w:tcPr>
            <w:tcW w:w="4193" w:type="dxa"/>
            <w:tcBorders>
              <w:top w:val="nil"/>
              <w:left w:val="nil"/>
              <w:bottom w:val="single" w:sz="4" w:space="0" w:color="auto"/>
              <w:right w:val="single" w:sz="4" w:space="0" w:color="auto"/>
            </w:tcBorders>
            <w:shd w:val="clear" w:color="000000" w:fill="FFFFFF"/>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Whilst we recognise the value of measuring wider participation, these measures have been selected as proxy measures that are quantifiable. This reflects the priority the corporate plan gives to increasing engagement and improving life chance for young people in the city. Achievement against target for the current year so far is 4,708.</w:t>
            </w:r>
          </w:p>
        </w:tc>
      </w:tr>
      <w:tr w:rsidR="004E6F7A" w:rsidRPr="0049271D" w:rsidTr="004E6F7A">
        <w:trPr>
          <w:trHeight w:val="983"/>
        </w:trPr>
        <w:tc>
          <w:tcPr>
            <w:tcW w:w="4220" w:type="dxa"/>
            <w:tcBorders>
              <w:top w:val="nil"/>
              <w:left w:val="single" w:sz="8" w:space="0" w:color="auto"/>
              <w:bottom w:val="single" w:sz="4" w:space="0" w:color="auto"/>
              <w:right w:val="single" w:sz="8"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 xml:space="preserve">Number of people using leisure centres </w:t>
            </w:r>
          </w:p>
        </w:tc>
        <w:tc>
          <w:tcPr>
            <w:tcW w:w="1061" w:type="dxa"/>
            <w:tcBorders>
              <w:top w:val="nil"/>
              <w:left w:val="single" w:sz="4" w:space="0" w:color="auto"/>
              <w:bottom w:val="single" w:sz="4" w:space="0" w:color="auto"/>
              <w:right w:val="single" w:sz="8"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 1.40 million</w:t>
            </w:r>
          </w:p>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visits</w:t>
            </w:r>
          </w:p>
        </w:tc>
        <w:tc>
          <w:tcPr>
            <w:tcW w:w="980" w:type="dxa"/>
            <w:tcBorders>
              <w:top w:val="nil"/>
              <w:left w:val="nil"/>
              <w:bottom w:val="single" w:sz="4" w:space="0" w:color="auto"/>
              <w:right w:val="single" w:sz="8"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1.45 million </w:t>
            </w:r>
          </w:p>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visits</w:t>
            </w:r>
          </w:p>
        </w:tc>
        <w:tc>
          <w:tcPr>
            <w:tcW w:w="982" w:type="dxa"/>
            <w:tcBorders>
              <w:top w:val="nil"/>
              <w:left w:val="nil"/>
              <w:bottom w:val="single" w:sz="4" w:space="0" w:color="auto"/>
              <w:right w:val="single" w:sz="8"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 1.50 million visits</w:t>
            </w:r>
          </w:p>
        </w:tc>
        <w:tc>
          <w:tcPr>
            <w:tcW w:w="1004" w:type="dxa"/>
            <w:tcBorders>
              <w:top w:val="nil"/>
              <w:left w:val="nil"/>
              <w:bottom w:val="single" w:sz="4" w:space="0" w:color="auto"/>
              <w:right w:val="single" w:sz="8"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 1.55 million</w:t>
            </w:r>
          </w:p>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visits</w:t>
            </w:r>
          </w:p>
        </w:tc>
        <w:tc>
          <w:tcPr>
            <w:tcW w:w="2459" w:type="dxa"/>
            <w:tcBorders>
              <w:top w:val="nil"/>
              <w:left w:val="nil"/>
              <w:bottom w:val="single" w:sz="4" w:space="0" w:color="auto"/>
              <w:right w:val="single" w:sz="8"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Monthly participation data received from our leisure provider.</w:t>
            </w:r>
          </w:p>
        </w:tc>
        <w:tc>
          <w:tcPr>
            <w:tcW w:w="4193" w:type="dxa"/>
            <w:tcBorders>
              <w:top w:val="nil"/>
              <w:left w:val="nil"/>
              <w:bottom w:val="single" w:sz="4" w:space="0" w:color="auto"/>
              <w:right w:val="single" w:sz="8" w:space="0" w:color="auto"/>
            </w:tcBorders>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Th</w:t>
            </w:r>
            <w:r>
              <w:rPr>
                <w:rFonts w:eastAsia="Times New Roman"/>
                <w:color w:val="000000"/>
                <w:sz w:val="20"/>
                <w:szCs w:val="20"/>
                <w:lang w:eastAsia="en-GB"/>
              </w:rPr>
              <w:t>is</w:t>
            </w:r>
            <w:r w:rsidRPr="0049271D">
              <w:rPr>
                <w:rFonts w:eastAsia="Times New Roman"/>
                <w:color w:val="000000"/>
                <w:sz w:val="20"/>
                <w:szCs w:val="20"/>
                <w:lang w:eastAsia="en-GB"/>
              </w:rPr>
              <w:t xml:space="preserve"> is a proxy for getting the wider population more active and measuring the value provided by our leisure services.</w:t>
            </w:r>
          </w:p>
          <w:p w:rsidR="004E6F7A" w:rsidRPr="0049271D" w:rsidRDefault="004E6F7A" w:rsidP="004E6F7A">
            <w:pPr>
              <w:rPr>
                <w:rFonts w:eastAsia="Times New Roman"/>
                <w:color w:val="000000"/>
                <w:sz w:val="20"/>
                <w:szCs w:val="20"/>
                <w:lang w:eastAsia="en-GB"/>
              </w:rPr>
            </w:pPr>
          </w:p>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Forecast for year end 15/16 is 1.33 million visits.</w:t>
            </w:r>
          </w:p>
          <w:p w:rsidR="004E6F7A" w:rsidRPr="0049271D" w:rsidRDefault="004E6F7A" w:rsidP="004E6F7A">
            <w:pPr>
              <w:rPr>
                <w:rFonts w:eastAsia="Times New Roman"/>
                <w:color w:val="000000"/>
                <w:sz w:val="20"/>
                <w:szCs w:val="20"/>
                <w:lang w:eastAsia="en-GB"/>
              </w:rPr>
            </w:pPr>
          </w:p>
        </w:tc>
      </w:tr>
      <w:tr w:rsidR="004E6F7A" w:rsidRPr="005B534F" w:rsidTr="00352A44">
        <w:trPr>
          <w:trHeight w:val="762"/>
        </w:trPr>
        <w:tc>
          <w:tcPr>
            <w:tcW w:w="14899" w:type="dxa"/>
            <w:gridSpan w:val="7"/>
            <w:tcBorders>
              <w:top w:val="single" w:sz="4" w:space="0" w:color="auto"/>
              <w:left w:val="single" w:sz="4" w:space="0" w:color="auto"/>
              <w:bottom w:val="single" w:sz="4" w:space="0" w:color="auto"/>
              <w:right w:val="single" w:sz="4" w:space="0" w:color="auto"/>
            </w:tcBorders>
            <w:shd w:val="solid" w:color="auto" w:fill="auto"/>
            <w:vAlign w:val="center"/>
          </w:tcPr>
          <w:p w:rsidR="004E6F7A" w:rsidRPr="005B534F" w:rsidRDefault="004E6F7A" w:rsidP="004E6F7A">
            <w:pPr>
              <w:rPr>
                <w:rFonts w:eastAsia="Times New Roman"/>
                <w:b/>
                <w:color w:val="FFFFFF" w:themeColor="background1"/>
                <w:lang w:eastAsia="en-GB"/>
              </w:rPr>
            </w:pPr>
            <w:r w:rsidRPr="005B534F">
              <w:rPr>
                <w:rFonts w:eastAsia="Times New Roman"/>
                <w:b/>
                <w:color w:val="FFFFFF" w:themeColor="background1"/>
                <w:lang w:eastAsia="en-GB"/>
              </w:rPr>
              <w:t>Efficient and Effective Council</w:t>
            </w:r>
          </w:p>
        </w:tc>
      </w:tr>
      <w:tr w:rsidR="004E6F7A" w:rsidRPr="0049271D" w:rsidTr="0049271D">
        <w:trPr>
          <w:trHeight w:val="1332"/>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r w:rsidRPr="0049271D">
              <w:rPr>
                <w:color w:val="000000"/>
                <w:sz w:val="20"/>
                <w:szCs w:val="20"/>
                <w:lang w:eastAsia="en-GB"/>
              </w:rPr>
              <w:t>Level of staff engagement based on best companies staff survey results</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bCs/>
                <w:color w:val="000000"/>
                <w:sz w:val="20"/>
                <w:szCs w:val="20"/>
                <w:lang w:eastAsia="en-GB"/>
              </w:rPr>
            </w:pPr>
            <w:r w:rsidRPr="0049271D">
              <w:rPr>
                <w:rFonts w:eastAsia="Times New Roman"/>
                <w:b/>
                <w:bCs/>
                <w:color w:val="000000"/>
                <w:sz w:val="20"/>
                <w:szCs w:val="20"/>
                <w:lang w:eastAsia="en-GB"/>
              </w:rPr>
              <w:t> </w:t>
            </w:r>
            <w:r w:rsidRPr="0049271D">
              <w:rPr>
                <w:rFonts w:eastAsia="Times New Roman"/>
                <w:bCs/>
                <w:color w:val="000000"/>
                <w:sz w:val="20"/>
                <w:szCs w:val="20"/>
                <w:lang w:eastAsia="en-GB"/>
              </w:rPr>
              <w:t>positive</w:t>
            </w:r>
          </w:p>
        </w:tc>
        <w:tc>
          <w:tcPr>
            <w:tcW w:w="980"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 positive</w:t>
            </w:r>
          </w:p>
        </w:tc>
        <w:tc>
          <w:tcPr>
            <w:tcW w:w="982"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positive </w:t>
            </w:r>
          </w:p>
        </w:tc>
        <w:tc>
          <w:tcPr>
            <w:tcW w:w="1004"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color w:val="000000"/>
                <w:sz w:val="20"/>
                <w:szCs w:val="20"/>
                <w:lang w:eastAsia="en-GB"/>
              </w:rPr>
            </w:pPr>
            <w:r w:rsidRPr="0049271D">
              <w:rPr>
                <w:rFonts w:eastAsia="Times New Roman"/>
                <w:color w:val="000000"/>
                <w:sz w:val="20"/>
                <w:szCs w:val="20"/>
                <w:lang w:eastAsia="en-GB"/>
              </w:rPr>
              <w:t>positive</w:t>
            </w:r>
          </w:p>
        </w:tc>
        <w:tc>
          <w:tcPr>
            <w:tcW w:w="2459"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r w:rsidRPr="0049271D">
              <w:rPr>
                <w:sz w:val="20"/>
                <w:szCs w:val="20"/>
                <w:lang w:eastAsia="en-GB"/>
              </w:rPr>
              <w:t>Positive = an average positive score of 5 across the 8 factors.</w:t>
            </w:r>
          </w:p>
        </w:tc>
        <w:tc>
          <w:tcPr>
            <w:tcW w:w="4193" w:type="dxa"/>
            <w:tcBorders>
              <w:top w:val="single" w:sz="4" w:space="0" w:color="auto"/>
              <w:left w:val="nil"/>
              <w:bottom w:val="single" w:sz="4" w:space="0" w:color="auto"/>
              <w:right w:val="single" w:sz="4" w:space="0" w:color="auto"/>
            </w:tcBorders>
          </w:tcPr>
          <w:p w:rsidR="004E6F7A" w:rsidRPr="0049271D" w:rsidRDefault="004E6F7A" w:rsidP="004E6F7A">
            <w:pPr>
              <w:rPr>
                <w:rFonts w:eastAsia="Times New Roman"/>
                <w:color w:val="000000"/>
                <w:sz w:val="20"/>
                <w:szCs w:val="20"/>
                <w:lang w:eastAsia="en-GB"/>
              </w:rPr>
            </w:pPr>
          </w:p>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A score of 5 is a stretching target. The survey is carried out once every 2 years, next due in 2016/17.</w:t>
            </w:r>
          </w:p>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Current score is a positive of 4.7</w:t>
            </w:r>
          </w:p>
        </w:tc>
      </w:tr>
      <w:tr w:rsidR="004E6F7A" w:rsidRPr="0049271D" w:rsidTr="0049271D">
        <w:trPr>
          <w:trHeight w:val="1332"/>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lastRenderedPageBreak/>
              <w:t xml:space="preserve">The percentage of customers satisfied at their first point of contact </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bCs/>
                <w:color w:val="000000"/>
                <w:sz w:val="20"/>
                <w:szCs w:val="20"/>
                <w:lang w:eastAsia="en-GB"/>
              </w:rPr>
            </w:pPr>
            <w:r w:rsidRPr="0049271D">
              <w:rPr>
                <w:rFonts w:eastAsia="Times New Roman"/>
                <w:bCs/>
                <w:color w:val="000000"/>
                <w:sz w:val="20"/>
                <w:szCs w:val="20"/>
                <w:lang w:eastAsia="en-GB"/>
              </w:rPr>
              <w:t>82%</w:t>
            </w:r>
          </w:p>
        </w:tc>
        <w:tc>
          <w:tcPr>
            <w:tcW w:w="980"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bCs/>
                <w:color w:val="000000"/>
                <w:sz w:val="20"/>
                <w:szCs w:val="20"/>
                <w:lang w:eastAsia="en-GB"/>
              </w:rPr>
            </w:pPr>
            <w:r w:rsidRPr="0049271D">
              <w:rPr>
                <w:rFonts w:eastAsia="Times New Roman"/>
                <w:bCs/>
                <w:color w:val="000000"/>
                <w:sz w:val="20"/>
                <w:szCs w:val="20"/>
                <w:lang w:eastAsia="en-GB"/>
              </w:rPr>
              <w:t>84%</w:t>
            </w:r>
          </w:p>
        </w:tc>
        <w:tc>
          <w:tcPr>
            <w:tcW w:w="982"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jc w:val="center"/>
              <w:rPr>
                <w:rFonts w:eastAsia="Times New Roman"/>
                <w:bCs/>
                <w:color w:val="000000"/>
                <w:sz w:val="20"/>
                <w:szCs w:val="20"/>
                <w:lang w:eastAsia="en-GB"/>
              </w:rPr>
            </w:pPr>
            <w:r w:rsidRPr="0049271D">
              <w:rPr>
                <w:rFonts w:eastAsia="Times New Roman"/>
                <w:bCs/>
                <w:color w:val="000000"/>
                <w:sz w:val="20"/>
                <w:szCs w:val="20"/>
                <w:lang w:eastAsia="en-GB"/>
              </w:rPr>
              <w:t>85%</w:t>
            </w:r>
          </w:p>
        </w:tc>
        <w:tc>
          <w:tcPr>
            <w:tcW w:w="1004"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 85%</w:t>
            </w:r>
          </w:p>
        </w:tc>
        <w:tc>
          <w:tcPr>
            <w:tcW w:w="2459"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proofErr w:type="spellStart"/>
            <w:r w:rsidRPr="0049271D">
              <w:rPr>
                <w:rFonts w:eastAsia="Times New Roman"/>
                <w:color w:val="000000"/>
                <w:sz w:val="20"/>
                <w:szCs w:val="20"/>
                <w:lang w:eastAsia="en-GB"/>
              </w:rPr>
              <w:t>Govmetric</w:t>
            </w:r>
            <w:proofErr w:type="spellEnd"/>
            <w:r w:rsidRPr="0049271D">
              <w:rPr>
                <w:rFonts w:eastAsia="Times New Roman"/>
                <w:color w:val="000000"/>
                <w:sz w:val="20"/>
                <w:szCs w:val="20"/>
                <w:lang w:eastAsia="en-GB"/>
              </w:rPr>
              <w:t xml:space="preserve"> supply information as now.</w:t>
            </w:r>
          </w:p>
        </w:tc>
        <w:tc>
          <w:tcPr>
            <w:tcW w:w="4193" w:type="dxa"/>
            <w:tcBorders>
              <w:top w:val="single" w:sz="4" w:space="0" w:color="auto"/>
              <w:left w:val="nil"/>
              <w:bottom w:val="single" w:sz="4" w:space="0" w:color="auto"/>
              <w:right w:val="single" w:sz="4" w:space="0" w:color="auto"/>
            </w:tcBorders>
          </w:tcPr>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Current score is 81%</w:t>
            </w:r>
          </w:p>
        </w:tc>
      </w:tr>
      <w:tr w:rsidR="004E6F7A" w:rsidRPr="0049271D" w:rsidTr="0049271D">
        <w:trPr>
          <w:trHeight w:val="1332"/>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rsidR="004E6F7A" w:rsidRPr="0049271D" w:rsidRDefault="004E6F7A" w:rsidP="004E6F7A">
            <w:pPr>
              <w:rPr>
                <w:rFonts w:eastAsia="Times New Roman"/>
                <w:color w:val="000000"/>
                <w:sz w:val="20"/>
                <w:szCs w:val="20"/>
                <w:lang w:eastAsia="en-GB"/>
              </w:rPr>
            </w:pPr>
          </w:p>
          <w:p w:rsidR="004E6F7A" w:rsidRPr="0049271D" w:rsidRDefault="004E6F7A" w:rsidP="004E6F7A">
            <w:pPr>
              <w:rPr>
                <w:rFonts w:eastAsia="Times New Roman"/>
                <w:color w:val="000000"/>
                <w:sz w:val="20"/>
                <w:szCs w:val="20"/>
                <w:lang w:eastAsia="en-GB"/>
              </w:rPr>
            </w:pPr>
            <w:r w:rsidRPr="0049271D">
              <w:rPr>
                <w:rFonts w:eastAsia="Times New Roman"/>
                <w:color w:val="000000"/>
                <w:sz w:val="20"/>
                <w:szCs w:val="20"/>
                <w:lang w:eastAsia="en-GB"/>
              </w:rPr>
              <w:t>Delivery of the Council’s cost savings and income targets</w:t>
            </w:r>
            <w:r w:rsidR="00295C9E">
              <w:rPr>
                <w:rFonts w:eastAsia="Times New Roman"/>
                <w:color w:val="000000"/>
                <w:sz w:val="20"/>
                <w:szCs w:val="20"/>
                <w:lang w:eastAsia="en-GB"/>
              </w:rPr>
              <w:t xml:space="preserve"> (cumulative over 4 year period)</w:t>
            </w:r>
          </w:p>
          <w:p w:rsidR="004E6F7A" w:rsidRPr="0049271D" w:rsidRDefault="004E6F7A" w:rsidP="004E6F7A">
            <w:pPr>
              <w:rPr>
                <w:rFonts w:eastAsia="Times New Roman"/>
                <w:color w:val="000000"/>
                <w:sz w:val="20"/>
                <w:szCs w:val="20"/>
                <w:lang w:eastAsia="en-GB"/>
              </w:rPr>
            </w:pPr>
          </w:p>
          <w:p w:rsidR="004E6F7A" w:rsidRPr="0049271D" w:rsidRDefault="004E6F7A" w:rsidP="004E6F7A">
            <w:pPr>
              <w:rPr>
                <w:rFonts w:eastAsia="Times New Roman"/>
                <w:color w:val="000000"/>
                <w:sz w:val="20"/>
                <w:szCs w:val="20"/>
                <w:lang w:eastAsia="en-GB"/>
              </w:rPr>
            </w:pPr>
          </w:p>
          <w:p w:rsidR="004E6F7A" w:rsidRPr="0049271D" w:rsidRDefault="004E6F7A" w:rsidP="004E6F7A">
            <w:pPr>
              <w:rPr>
                <w:rFonts w:eastAsia="Times New Roman"/>
                <w:color w:val="000000"/>
                <w:sz w:val="20"/>
                <w:szCs w:val="20"/>
                <w:lang w:eastAsia="en-GB"/>
              </w:rPr>
            </w:pPr>
          </w:p>
          <w:p w:rsidR="004E6F7A" w:rsidRPr="0049271D" w:rsidRDefault="004E6F7A" w:rsidP="004E6F7A">
            <w:pPr>
              <w:rPr>
                <w:rFonts w:eastAsia="Times New Roman"/>
                <w:color w:val="000000"/>
                <w:sz w:val="20"/>
                <w:szCs w:val="20"/>
                <w:lang w:eastAsia="en-GB"/>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E6F7A" w:rsidRPr="0049271D" w:rsidRDefault="00295C9E" w:rsidP="004E6F7A">
            <w:pPr>
              <w:jc w:val="center"/>
              <w:rPr>
                <w:rFonts w:eastAsia="Times New Roman"/>
                <w:bCs/>
                <w:color w:val="000000"/>
                <w:sz w:val="20"/>
                <w:szCs w:val="20"/>
                <w:lang w:eastAsia="en-GB"/>
              </w:rPr>
            </w:pPr>
            <w:r>
              <w:rPr>
                <w:rFonts w:eastAsia="Times New Roman"/>
                <w:bCs/>
                <w:color w:val="000000"/>
                <w:sz w:val="20"/>
                <w:szCs w:val="20"/>
                <w:lang w:eastAsia="en-GB"/>
              </w:rPr>
              <w:t>£1861</w:t>
            </w:r>
            <w:r w:rsidR="004E6F7A" w:rsidRPr="0049271D">
              <w:rPr>
                <w:rFonts w:eastAsia="Times New Roman"/>
                <w:bCs/>
                <w:color w:val="000000"/>
                <w:sz w:val="20"/>
                <w:szCs w:val="20"/>
                <w:lang w:eastAsia="en-GB"/>
              </w:rPr>
              <w:t>k</w:t>
            </w:r>
          </w:p>
        </w:tc>
        <w:tc>
          <w:tcPr>
            <w:tcW w:w="980"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295C9E">
            <w:pPr>
              <w:jc w:val="center"/>
              <w:rPr>
                <w:rFonts w:eastAsia="Times New Roman"/>
                <w:bCs/>
                <w:color w:val="000000"/>
                <w:sz w:val="20"/>
                <w:szCs w:val="20"/>
                <w:lang w:eastAsia="en-GB"/>
              </w:rPr>
            </w:pPr>
            <w:r w:rsidRPr="0049271D">
              <w:rPr>
                <w:rFonts w:eastAsia="Times New Roman"/>
                <w:bCs/>
                <w:color w:val="000000"/>
                <w:sz w:val="20"/>
                <w:szCs w:val="20"/>
                <w:lang w:eastAsia="en-GB"/>
              </w:rPr>
              <w:t>£</w:t>
            </w:r>
            <w:r w:rsidR="00295C9E">
              <w:rPr>
                <w:rFonts w:eastAsia="Times New Roman"/>
                <w:bCs/>
                <w:color w:val="000000"/>
                <w:sz w:val="20"/>
                <w:szCs w:val="20"/>
                <w:lang w:eastAsia="en-GB"/>
              </w:rPr>
              <w:t>3,230</w:t>
            </w:r>
          </w:p>
        </w:tc>
        <w:tc>
          <w:tcPr>
            <w:tcW w:w="982"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295C9E">
            <w:pPr>
              <w:jc w:val="center"/>
              <w:rPr>
                <w:rFonts w:eastAsia="Times New Roman"/>
                <w:bCs/>
                <w:color w:val="000000"/>
                <w:sz w:val="20"/>
                <w:szCs w:val="20"/>
                <w:lang w:eastAsia="en-GB"/>
              </w:rPr>
            </w:pPr>
            <w:r w:rsidRPr="0049271D">
              <w:rPr>
                <w:rFonts w:eastAsia="Times New Roman"/>
                <w:bCs/>
                <w:color w:val="000000"/>
                <w:sz w:val="20"/>
                <w:szCs w:val="20"/>
                <w:lang w:eastAsia="en-GB"/>
              </w:rPr>
              <w:t>£</w:t>
            </w:r>
            <w:r w:rsidR="00295C9E">
              <w:rPr>
                <w:rFonts w:eastAsia="Times New Roman"/>
                <w:bCs/>
                <w:color w:val="000000"/>
                <w:sz w:val="20"/>
                <w:szCs w:val="20"/>
                <w:lang w:eastAsia="en-GB"/>
              </w:rPr>
              <w:t>4,684</w:t>
            </w:r>
          </w:p>
        </w:tc>
        <w:tc>
          <w:tcPr>
            <w:tcW w:w="1004"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295C9E">
            <w:pPr>
              <w:rPr>
                <w:rFonts w:eastAsia="Times New Roman"/>
                <w:color w:val="000000"/>
                <w:sz w:val="20"/>
                <w:szCs w:val="20"/>
                <w:lang w:eastAsia="en-GB"/>
              </w:rPr>
            </w:pPr>
            <w:r w:rsidRPr="0049271D">
              <w:rPr>
                <w:rFonts w:eastAsia="Times New Roman"/>
                <w:color w:val="000000"/>
                <w:sz w:val="20"/>
                <w:szCs w:val="20"/>
                <w:lang w:eastAsia="en-GB"/>
              </w:rPr>
              <w:t> £</w:t>
            </w:r>
            <w:r w:rsidR="00295C9E">
              <w:rPr>
                <w:rFonts w:eastAsia="Times New Roman"/>
                <w:color w:val="000000"/>
                <w:sz w:val="20"/>
                <w:szCs w:val="20"/>
                <w:lang w:eastAsia="en-GB"/>
              </w:rPr>
              <w:t>5,221</w:t>
            </w:r>
            <w:r w:rsidRPr="0049271D">
              <w:rPr>
                <w:rFonts w:eastAsia="Times New Roman"/>
                <w:color w:val="000000"/>
                <w:sz w:val="20"/>
                <w:szCs w:val="20"/>
                <w:lang w:eastAsia="en-GB"/>
              </w:rPr>
              <w:t>k</w:t>
            </w:r>
          </w:p>
        </w:tc>
        <w:tc>
          <w:tcPr>
            <w:tcW w:w="2459" w:type="dxa"/>
            <w:tcBorders>
              <w:top w:val="single" w:sz="4" w:space="0" w:color="auto"/>
              <w:left w:val="nil"/>
              <w:bottom w:val="single" w:sz="4" w:space="0" w:color="auto"/>
              <w:right w:val="single" w:sz="4" w:space="0" w:color="auto"/>
            </w:tcBorders>
            <w:shd w:val="clear" w:color="auto" w:fill="auto"/>
            <w:vAlign w:val="center"/>
          </w:tcPr>
          <w:p w:rsidR="004E6F7A" w:rsidRPr="0049271D" w:rsidRDefault="004E6F7A" w:rsidP="004E6F7A">
            <w:pPr>
              <w:rPr>
                <w:rFonts w:eastAsia="Times New Roman"/>
                <w:iCs/>
                <w:color w:val="000000"/>
                <w:sz w:val="20"/>
                <w:szCs w:val="20"/>
                <w:lang w:eastAsia="en-GB"/>
              </w:rPr>
            </w:pPr>
            <w:r w:rsidRPr="0049271D">
              <w:rPr>
                <w:rFonts w:eastAsia="Times New Roman"/>
                <w:iCs/>
                <w:color w:val="000000"/>
                <w:sz w:val="20"/>
                <w:szCs w:val="20"/>
                <w:lang w:eastAsia="en-GB"/>
              </w:rPr>
              <w:t xml:space="preserve">Success measured against achievement of </w:t>
            </w:r>
            <w:r w:rsidR="00295C9E">
              <w:rPr>
                <w:rFonts w:eastAsia="Times New Roman"/>
                <w:iCs/>
                <w:color w:val="000000"/>
                <w:sz w:val="20"/>
                <w:szCs w:val="20"/>
                <w:lang w:eastAsia="en-GB"/>
              </w:rPr>
              <w:t xml:space="preserve">directorate </w:t>
            </w:r>
            <w:r w:rsidRPr="0049271D">
              <w:rPr>
                <w:rFonts w:eastAsia="Times New Roman"/>
                <w:iCs/>
                <w:color w:val="000000"/>
                <w:sz w:val="20"/>
                <w:szCs w:val="20"/>
                <w:lang w:eastAsia="en-GB"/>
              </w:rPr>
              <w:t>savings and income targets set out in MTFS and progress assessed through budget monitoring</w:t>
            </w:r>
            <w:r w:rsidR="00295C9E">
              <w:rPr>
                <w:rFonts w:eastAsia="Times New Roman"/>
                <w:iCs/>
                <w:color w:val="000000"/>
                <w:sz w:val="20"/>
                <w:szCs w:val="20"/>
                <w:lang w:eastAsia="en-GB"/>
              </w:rPr>
              <w:t>.</w:t>
            </w:r>
            <w:bookmarkStart w:id="0" w:name="_GoBack"/>
            <w:bookmarkEnd w:id="0"/>
          </w:p>
        </w:tc>
        <w:tc>
          <w:tcPr>
            <w:tcW w:w="4193" w:type="dxa"/>
            <w:tcBorders>
              <w:top w:val="single" w:sz="4" w:space="0" w:color="auto"/>
              <w:left w:val="nil"/>
              <w:bottom w:val="single" w:sz="4" w:space="0" w:color="auto"/>
              <w:right w:val="single" w:sz="4" w:space="0" w:color="auto"/>
            </w:tcBorders>
          </w:tcPr>
          <w:p w:rsidR="004E6F7A" w:rsidRPr="0049271D" w:rsidRDefault="004E6F7A" w:rsidP="004E6F7A">
            <w:pPr>
              <w:rPr>
                <w:rFonts w:eastAsia="Times New Roman"/>
                <w:iCs/>
                <w:color w:val="000000"/>
                <w:sz w:val="20"/>
                <w:szCs w:val="20"/>
                <w:lang w:eastAsia="en-GB"/>
              </w:rPr>
            </w:pPr>
          </w:p>
          <w:p w:rsidR="004E6F7A" w:rsidRPr="0049271D" w:rsidRDefault="004E6F7A" w:rsidP="004E6F7A">
            <w:pPr>
              <w:rPr>
                <w:rFonts w:eastAsia="Times New Roman"/>
                <w:iCs/>
                <w:color w:val="000000"/>
                <w:sz w:val="20"/>
                <w:szCs w:val="20"/>
                <w:lang w:eastAsia="en-GB"/>
              </w:rPr>
            </w:pPr>
            <w:r w:rsidRPr="0049271D">
              <w:rPr>
                <w:rFonts w:eastAsia="Times New Roman"/>
                <w:iCs/>
                <w:color w:val="000000"/>
                <w:sz w:val="20"/>
                <w:szCs w:val="20"/>
                <w:lang w:eastAsia="en-GB"/>
              </w:rPr>
              <w:t>As set out in MTFS</w:t>
            </w:r>
          </w:p>
        </w:tc>
      </w:tr>
    </w:tbl>
    <w:p w:rsidR="000B4239" w:rsidRPr="0049271D" w:rsidRDefault="0049271D" w:rsidP="008A22C6">
      <w:pPr>
        <w:rPr>
          <w:sz w:val="20"/>
          <w:szCs w:val="20"/>
        </w:rPr>
      </w:pPr>
      <w:r>
        <w:rPr>
          <w:sz w:val="20"/>
          <w:szCs w:val="20"/>
        </w:rPr>
        <w:br w:type="textWrapping" w:clear="all"/>
      </w:r>
    </w:p>
    <w:p w:rsidR="00F93F6B" w:rsidRPr="0049271D" w:rsidRDefault="00F93F6B" w:rsidP="008A22C6">
      <w:pPr>
        <w:rPr>
          <w:sz w:val="20"/>
          <w:szCs w:val="20"/>
        </w:rPr>
      </w:pPr>
    </w:p>
    <w:p w:rsidR="00F93F6B" w:rsidRPr="0049271D" w:rsidRDefault="00F93F6B" w:rsidP="008A22C6">
      <w:pPr>
        <w:rPr>
          <w:sz w:val="20"/>
          <w:szCs w:val="20"/>
        </w:rPr>
      </w:pPr>
    </w:p>
    <w:sectPr w:rsidR="00F93F6B" w:rsidRPr="0049271D" w:rsidSect="00D56320">
      <w:footerReference w:type="default" r:id="rId9"/>
      <w:pgSz w:w="16838" w:h="11906" w:orient="landscape"/>
      <w:pgMar w:top="397" w:right="964" w:bottom="6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05" w:rsidRDefault="00626905" w:rsidP="00C861E6">
      <w:r>
        <w:separator/>
      </w:r>
    </w:p>
  </w:endnote>
  <w:endnote w:type="continuationSeparator" w:id="0">
    <w:p w:rsidR="00626905" w:rsidRDefault="00626905" w:rsidP="00C8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E6" w:rsidRDefault="00C861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Corporate </w:t>
    </w:r>
    <w:r w:rsidR="005B534F">
      <w:rPr>
        <w:rFonts w:asciiTheme="majorHAnsi" w:eastAsiaTheme="majorEastAsia" w:hAnsiTheme="majorHAnsi" w:cstheme="majorBidi"/>
      </w:rPr>
      <w:t>Success Measures</w:t>
    </w:r>
    <w:r>
      <w:rPr>
        <w:rFonts w:asciiTheme="majorHAnsi" w:eastAsiaTheme="majorEastAsia" w:hAnsiTheme="majorHAnsi" w:cstheme="majorBidi"/>
      </w:rPr>
      <w:t xml:space="preserve"> 2016-2020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C7434" w:rsidRPr="00FC743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861E6" w:rsidRDefault="00C86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05" w:rsidRDefault="00626905" w:rsidP="00C861E6">
      <w:r>
        <w:separator/>
      </w:r>
    </w:p>
  </w:footnote>
  <w:footnote w:type="continuationSeparator" w:id="0">
    <w:p w:rsidR="00626905" w:rsidRDefault="00626905" w:rsidP="00C8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2F8"/>
    <w:multiLevelType w:val="hybridMultilevel"/>
    <w:tmpl w:val="3984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2170E45"/>
    <w:multiLevelType w:val="hybridMultilevel"/>
    <w:tmpl w:val="0CF2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3F16C3"/>
    <w:multiLevelType w:val="hybridMultilevel"/>
    <w:tmpl w:val="D6D2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630922"/>
    <w:multiLevelType w:val="hybridMultilevel"/>
    <w:tmpl w:val="5D3A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5F90970"/>
    <w:multiLevelType w:val="hybridMultilevel"/>
    <w:tmpl w:val="74822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69111121"/>
    <w:multiLevelType w:val="hybridMultilevel"/>
    <w:tmpl w:val="B2E6B2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6A592F6D"/>
    <w:multiLevelType w:val="hybridMultilevel"/>
    <w:tmpl w:val="6B88C0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E6"/>
    <w:rsid w:val="00081533"/>
    <w:rsid w:val="000B06EE"/>
    <w:rsid w:val="000B0CE8"/>
    <w:rsid w:val="000B4239"/>
    <w:rsid w:val="000B4310"/>
    <w:rsid w:val="001054A8"/>
    <w:rsid w:val="00144F89"/>
    <w:rsid w:val="001635AD"/>
    <w:rsid w:val="00172773"/>
    <w:rsid w:val="001756E7"/>
    <w:rsid w:val="001939B4"/>
    <w:rsid w:val="001B7918"/>
    <w:rsid w:val="00212497"/>
    <w:rsid w:val="00295C9E"/>
    <w:rsid w:val="002E0B23"/>
    <w:rsid w:val="00321F68"/>
    <w:rsid w:val="00341283"/>
    <w:rsid w:val="003505DD"/>
    <w:rsid w:val="00352A44"/>
    <w:rsid w:val="00362B5D"/>
    <w:rsid w:val="003A19E9"/>
    <w:rsid w:val="003C4355"/>
    <w:rsid w:val="003E0651"/>
    <w:rsid w:val="004000D7"/>
    <w:rsid w:val="004478A0"/>
    <w:rsid w:val="00454652"/>
    <w:rsid w:val="00464B04"/>
    <w:rsid w:val="00473F71"/>
    <w:rsid w:val="00486E06"/>
    <w:rsid w:val="0049271D"/>
    <w:rsid w:val="004B0E36"/>
    <w:rsid w:val="004B74A3"/>
    <w:rsid w:val="004C3B87"/>
    <w:rsid w:val="004E6F7A"/>
    <w:rsid w:val="00504E43"/>
    <w:rsid w:val="0051041B"/>
    <w:rsid w:val="00530801"/>
    <w:rsid w:val="005535EC"/>
    <w:rsid w:val="005B534F"/>
    <w:rsid w:val="005F472C"/>
    <w:rsid w:val="00626905"/>
    <w:rsid w:val="00692979"/>
    <w:rsid w:val="0070496C"/>
    <w:rsid w:val="00712ABA"/>
    <w:rsid w:val="00743A9F"/>
    <w:rsid w:val="007517F2"/>
    <w:rsid w:val="00775881"/>
    <w:rsid w:val="00775BBE"/>
    <w:rsid w:val="007908F4"/>
    <w:rsid w:val="007947F6"/>
    <w:rsid w:val="007B4B06"/>
    <w:rsid w:val="007C76C4"/>
    <w:rsid w:val="007E7F68"/>
    <w:rsid w:val="00851577"/>
    <w:rsid w:val="00890154"/>
    <w:rsid w:val="008933D2"/>
    <w:rsid w:val="008A22C6"/>
    <w:rsid w:val="008E33DF"/>
    <w:rsid w:val="00941EB0"/>
    <w:rsid w:val="00970C25"/>
    <w:rsid w:val="00984AE5"/>
    <w:rsid w:val="00985B6C"/>
    <w:rsid w:val="009C494B"/>
    <w:rsid w:val="009D2C6E"/>
    <w:rsid w:val="00A168B5"/>
    <w:rsid w:val="00A25A13"/>
    <w:rsid w:val="00A67C96"/>
    <w:rsid w:val="00AA3DE7"/>
    <w:rsid w:val="00AC7DC0"/>
    <w:rsid w:val="00BB1E1A"/>
    <w:rsid w:val="00C0402A"/>
    <w:rsid w:val="00C07F80"/>
    <w:rsid w:val="00C543F9"/>
    <w:rsid w:val="00C72515"/>
    <w:rsid w:val="00C861E6"/>
    <w:rsid w:val="00CD337F"/>
    <w:rsid w:val="00CE65EA"/>
    <w:rsid w:val="00CF760D"/>
    <w:rsid w:val="00D02E28"/>
    <w:rsid w:val="00D53DA7"/>
    <w:rsid w:val="00D56320"/>
    <w:rsid w:val="00D612E0"/>
    <w:rsid w:val="00D82EA8"/>
    <w:rsid w:val="00DC2799"/>
    <w:rsid w:val="00E1487B"/>
    <w:rsid w:val="00E6529A"/>
    <w:rsid w:val="00E80A22"/>
    <w:rsid w:val="00F0734A"/>
    <w:rsid w:val="00F07A1C"/>
    <w:rsid w:val="00F81EE7"/>
    <w:rsid w:val="00F8602A"/>
    <w:rsid w:val="00F93F6B"/>
    <w:rsid w:val="00FC6EF3"/>
    <w:rsid w:val="00FC743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1E6"/>
    <w:pPr>
      <w:tabs>
        <w:tab w:val="center" w:pos="4513"/>
        <w:tab w:val="right" w:pos="9026"/>
      </w:tabs>
    </w:pPr>
  </w:style>
  <w:style w:type="character" w:customStyle="1" w:styleId="HeaderChar">
    <w:name w:val="Header Char"/>
    <w:basedOn w:val="DefaultParagraphFont"/>
    <w:link w:val="Header"/>
    <w:uiPriority w:val="99"/>
    <w:rsid w:val="00C861E6"/>
  </w:style>
  <w:style w:type="paragraph" w:styleId="Footer">
    <w:name w:val="footer"/>
    <w:basedOn w:val="Normal"/>
    <w:link w:val="FooterChar"/>
    <w:uiPriority w:val="99"/>
    <w:unhideWhenUsed/>
    <w:rsid w:val="00C861E6"/>
    <w:pPr>
      <w:tabs>
        <w:tab w:val="center" w:pos="4513"/>
        <w:tab w:val="right" w:pos="9026"/>
      </w:tabs>
    </w:pPr>
  </w:style>
  <w:style w:type="character" w:customStyle="1" w:styleId="FooterChar">
    <w:name w:val="Footer Char"/>
    <w:basedOn w:val="DefaultParagraphFont"/>
    <w:link w:val="Footer"/>
    <w:uiPriority w:val="99"/>
    <w:rsid w:val="00C861E6"/>
  </w:style>
  <w:style w:type="paragraph" w:styleId="BalloonText">
    <w:name w:val="Balloon Text"/>
    <w:basedOn w:val="Normal"/>
    <w:link w:val="BalloonTextChar"/>
    <w:uiPriority w:val="99"/>
    <w:semiHidden/>
    <w:unhideWhenUsed/>
    <w:rsid w:val="00C861E6"/>
    <w:rPr>
      <w:rFonts w:ascii="Tahoma" w:hAnsi="Tahoma" w:cs="Tahoma"/>
      <w:sz w:val="16"/>
      <w:szCs w:val="16"/>
    </w:rPr>
  </w:style>
  <w:style w:type="character" w:customStyle="1" w:styleId="BalloonTextChar">
    <w:name w:val="Balloon Text Char"/>
    <w:basedOn w:val="DefaultParagraphFont"/>
    <w:link w:val="BalloonText"/>
    <w:uiPriority w:val="99"/>
    <w:semiHidden/>
    <w:rsid w:val="00C861E6"/>
    <w:rPr>
      <w:rFonts w:ascii="Tahoma" w:hAnsi="Tahoma" w:cs="Tahoma"/>
      <w:sz w:val="16"/>
      <w:szCs w:val="16"/>
    </w:rPr>
  </w:style>
  <w:style w:type="paragraph" w:styleId="ListParagraph">
    <w:name w:val="List Paragraph"/>
    <w:basedOn w:val="Normal"/>
    <w:uiPriority w:val="34"/>
    <w:qFormat/>
    <w:rsid w:val="00775881"/>
    <w:pPr>
      <w:ind w:left="720"/>
    </w:pPr>
  </w:style>
  <w:style w:type="paragraph" w:customStyle="1" w:styleId="Default">
    <w:name w:val="Default"/>
    <w:rsid w:val="000B4239"/>
    <w:pPr>
      <w:autoSpaceDE w:val="0"/>
      <w:autoSpaceDN w:val="0"/>
      <w:adjustRightInd w:val="0"/>
    </w:pPr>
    <w:rPr>
      <w:color w:val="000000"/>
    </w:rPr>
  </w:style>
  <w:style w:type="paragraph" w:styleId="Revision">
    <w:name w:val="Revision"/>
    <w:hidden/>
    <w:uiPriority w:val="99"/>
    <w:semiHidden/>
    <w:rsid w:val="00692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1E6"/>
    <w:pPr>
      <w:tabs>
        <w:tab w:val="center" w:pos="4513"/>
        <w:tab w:val="right" w:pos="9026"/>
      </w:tabs>
    </w:pPr>
  </w:style>
  <w:style w:type="character" w:customStyle="1" w:styleId="HeaderChar">
    <w:name w:val="Header Char"/>
    <w:basedOn w:val="DefaultParagraphFont"/>
    <w:link w:val="Header"/>
    <w:uiPriority w:val="99"/>
    <w:rsid w:val="00C861E6"/>
  </w:style>
  <w:style w:type="paragraph" w:styleId="Footer">
    <w:name w:val="footer"/>
    <w:basedOn w:val="Normal"/>
    <w:link w:val="FooterChar"/>
    <w:uiPriority w:val="99"/>
    <w:unhideWhenUsed/>
    <w:rsid w:val="00C861E6"/>
    <w:pPr>
      <w:tabs>
        <w:tab w:val="center" w:pos="4513"/>
        <w:tab w:val="right" w:pos="9026"/>
      </w:tabs>
    </w:pPr>
  </w:style>
  <w:style w:type="character" w:customStyle="1" w:styleId="FooterChar">
    <w:name w:val="Footer Char"/>
    <w:basedOn w:val="DefaultParagraphFont"/>
    <w:link w:val="Footer"/>
    <w:uiPriority w:val="99"/>
    <w:rsid w:val="00C861E6"/>
  </w:style>
  <w:style w:type="paragraph" w:styleId="BalloonText">
    <w:name w:val="Balloon Text"/>
    <w:basedOn w:val="Normal"/>
    <w:link w:val="BalloonTextChar"/>
    <w:uiPriority w:val="99"/>
    <w:semiHidden/>
    <w:unhideWhenUsed/>
    <w:rsid w:val="00C861E6"/>
    <w:rPr>
      <w:rFonts w:ascii="Tahoma" w:hAnsi="Tahoma" w:cs="Tahoma"/>
      <w:sz w:val="16"/>
      <w:szCs w:val="16"/>
    </w:rPr>
  </w:style>
  <w:style w:type="character" w:customStyle="1" w:styleId="BalloonTextChar">
    <w:name w:val="Balloon Text Char"/>
    <w:basedOn w:val="DefaultParagraphFont"/>
    <w:link w:val="BalloonText"/>
    <w:uiPriority w:val="99"/>
    <w:semiHidden/>
    <w:rsid w:val="00C861E6"/>
    <w:rPr>
      <w:rFonts w:ascii="Tahoma" w:hAnsi="Tahoma" w:cs="Tahoma"/>
      <w:sz w:val="16"/>
      <w:szCs w:val="16"/>
    </w:rPr>
  </w:style>
  <w:style w:type="paragraph" w:styleId="ListParagraph">
    <w:name w:val="List Paragraph"/>
    <w:basedOn w:val="Normal"/>
    <w:uiPriority w:val="34"/>
    <w:qFormat/>
    <w:rsid w:val="00775881"/>
    <w:pPr>
      <w:ind w:left="720"/>
    </w:pPr>
  </w:style>
  <w:style w:type="paragraph" w:customStyle="1" w:styleId="Default">
    <w:name w:val="Default"/>
    <w:rsid w:val="000B4239"/>
    <w:pPr>
      <w:autoSpaceDE w:val="0"/>
      <w:autoSpaceDN w:val="0"/>
      <w:adjustRightInd w:val="0"/>
    </w:pPr>
    <w:rPr>
      <w:color w:val="000000"/>
    </w:rPr>
  </w:style>
  <w:style w:type="paragraph" w:styleId="Revision">
    <w:name w:val="Revision"/>
    <w:hidden/>
    <w:uiPriority w:val="99"/>
    <w:semiHidden/>
    <w:rsid w:val="00692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7875">
      <w:bodyDiv w:val="1"/>
      <w:marLeft w:val="0"/>
      <w:marRight w:val="0"/>
      <w:marTop w:val="0"/>
      <w:marBottom w:val="0"/>
      <w:divBdr>
        <w:top w:val="none" w:sz="0" w:space="0" w:color="auto"/>
        <w:left w:val="none" w:sz="0" w:space="0" w:color="auto"/>
        <w:bottom w:val="none" w:sz="0" w:space="0" w:color="auto"/>
        <w:right w:val="none" w:sz="0" w:space="0" w:color="auto"/>
      </w:divBdr>
    </w:div>
    <w:div w:id="192039475">
      <w:bodyDiv w:val="1"/>
      <w:marLeft w:val="0"/>
      <w:marRight w:val="0"/>
      <w:marTop w:val="0"/>
      <w:marBottom w:val="0"/>
      <w:divBdr>
        <w:top w:val="none" w:sz="0" w:space="0" w:color="auto"/>
        <w:left w:val="none" w:sz="0" w:space="0" w:color="auto"/>
        <w:bottom w:val="none" w:sz="0" w:space="0" w:color="auto"/>
        <w:right w:val="none" w:sz="0" w:space="0" w:color="auto"/>
      </w:divBdr>
    </w:div>
    <w:div w:id="290331409">
      <w:bodyDiv w:val="1"/>
      <w:marLeft w:val="0"/>
      <w:marRight w:val="0"/>
      <w:marTop w:val="0"/>
      <w:marBottom w:val="0"/>
      <w:divBdr>
        <w:top w:val="none" w:sz="0" w:space="0" w:color="auto"/>
        <w:left w:val="none" w:sz="0" w:space="0" w:color="auto"/>
        <w:bottom w:val="none" w:sz="0" w:space="0" w:color="auto"/>
        <w:right w:val="none" w:sz="0" w:space="0" w:color="auto"/>
      </w:divBdr>
    </w:div>
    <w:div w:id="308902278">
      <w:bodyDiv w:val="1"/>
      <w:marLeft w:val="0"/>
      <w:marRight w:val="0"/>
      <w:marTop w:val="0"/>
      <w:marBottom w:val="0"/>
      <w:divBdr>
        <w:top w:val="none" w:sz="0" w:space="0" w:color="auto"/>
        <w:left w:val="none" w:sz="0" w:space="0" w:color="auto"/>
        <w:bottom w:val="none" w:sz="0" w:space="0" w:color="auto"/>
        <w:right w:val="none" w:sz="0" w:space="0" w:color="auto"/>
      </w:divBdr>
    </w:div>
    <w:div w:id="355808258">
      <w:bodyDiv w:val="1"/>
      <w:marLeft w:val="0"/>
      <w:marRight w:val="0"/>
      <w:marTop w:val="0"/>
      <w:marBottom w:val="0"/>
      <w:divBdr>
        <w:top w:val="none" w:sz="0" w:space="0" w:color="auto"/>
        <w:left w:val="none" w:sz="0" w:space="0" w:color="auto"/>
        <w:bottom w:val="none" w:sz="0" w:space="0" w:color="auto"/>
        <w:right w:val="none" w:sz="0" w:space="0" w:color="auto"/>
      </w:divBdr>
    </w:div>
    <w:div w:id="365838769">
      <w:bodyDiv w:val="1"/>
      <w:marLeft w:val="0"/>
      <w:marRight w:val="0"/>
      <w:marTop w:val="0"/>
      <w:marBottom w:val="0"/>
      <w:divBdr>
        <w:top w:val="none" w:sz="0" w:space="0" w:color="auto"/>
        <w:left w:val="none" w:sz="0" w:space="0" w:color="auto"/>
        <w:bottom w:val="none" w:sz="0" w:space="0" w:color="auto"/>
        <w:right w:val="none" w:sz="0" w:space="0" w:color="auto"/>
      </w:divBdr>
    </w:div>
    <w:div w:id="529342447">
      <w:bodyDiv w:val="1"/>
      <w:marLeft w:val="0"/>
      <w:marRight w:val="0"/>
      <w:marTop w:val="0"/>
      <w:marBottom w:val="0"/>
      <w:divBdr>
        <w:top w:val="none" w:sz="0" w:space="0" w:color="auto"/>
        <w:left w:val="none" w:sz="0" w:space="0" w:color="auto"/>
        <w:bottom w:val="none" w:sz="0" w:space="0" w:color="auto"/>
        <w:right w:val="none" w:sz="0" w:space="0" w:color="auto"/>
      </w:divBdr>
    </w:div>
    <w:div w:id="648629041">
      <w:bodyDiv w:val="1"/>
      <w:marLeft w:val="0"/>
      <w:marRight w:val="0"/>
      <w:marTop w:val="0"/>
      <w:marBottom w:val="0"/>
      <w:divBdr>
        <w:top w:val="none" w:sz="0" w:space="0" w:color="auto"/>
        <w:left w:val="none" w:sz="0" w:space="0" w:color="auto"/>
        <w:bottom w:val="none" w:sz="0" w:space="0" w:color="auto"/>
        <w:right w:val="none" w:sz="0" w:space="0" w:color="auto"/>
      </w:divBdr>
    </w:div>
    <w:div w:id="765073134">
      <w:bodyDiv w:val="1"/>
      <w:marLeft w:val="0"/>
      <w:marRight w:val="0"/>
      <w:marTop w:val="0"/>
      <w:marBottom w:val="0"/>
      <w:divBdr>
        <w:top w:val="none" w:sz="0" w:space="0" w:color="auto"/>
        <w:left w:val="none" w:sz="0" w:space="0" w:color="auto"/>
        <w:bottom w:val="none" w:sz="0" w:space="0" w:color="auto"/>
        <w:right w:val="none" w:sz="0" w:space="0" w:color="auto"/>
      </w:divBdr>
    </w:div>
    <w:div w:id="880898158">
      <w:bodyDiv w:val="1"/>
      <w:marLeft w:val="0"/>
      <w:marRight w:val="0"/>
      <w:marTop w:val="0"/>
      <w:marBottom w:val="0"/>
      <w:divBdr>
        <w:top w:val="none" w:sz="0" w:space="0" w:color="auto"/>
        <w:left w:val="none" w:sz="0" w:space="0" w:color="auto"/>
        <w:bottom w:val="none" w:sz="0" w:space="0" w:color="auto"/>
        <w:right w:val="none" w:sz="0" w:space="0" w:color="auto"/>
      </w:divBdr>
    </w:div>
    <w:div w:id="931208506">
      <w:bodyDiv w:val="1"/>
      <w:marLeft w:val="0"/>
      <w:marRight w:val="0"/>
      <w:marTop w:val="0"/>
      <w:marBottom w:val="0"/>
      <w:divBdr>
        <w:top w:val="none" w:sz="0" w:space="0" w:color="auto"/>
        <w:left w:val="none" w:sz="0" w:space="0" w:color="auto"/>
        <w:bottom w:val="none" w:sz="0" w:space="0" w:color="auto"/>
        <w:right w:val="none" w:sz="0" w:space="0" w:color="auto"/>
      </w:divBdr>
    </w:div>
    <w:div w:id="935748891">
      <w:bodyDiv w:val="1"/>
      <w:marLeft w:val="0"/>
      <w:marRight w:val="0"/>
      <w:marTop w:val="0"/>
      <w:marBottom w:val="0"/>
      <w:divBdr>
        <w:top w:val="none" w:sz="0" w:space="0" w:color="auto"/>
        <w:left w:val="none" w:sz="0" w:space="0" w:color="auto"/>
        <w:bottom w:val="none" w:sz="0" w:space="0" w:color="auto"/>
        <w:right w:val="none" w:sz="0" w:space="0" w:color="auto"/>
      </w:divBdr>
    </w:div>
    <w:div w:id="1035034079">
      <w:bodyDiv w:val="1"/>
      <w:marLeft w:val="0"/>
      <w:marRight w:val="0"/>
      <w:marTop w:val="0"/>
      <w:marBottom w:val="0"/>
      <w:divBdr>
        <w:top w:val="none" w:sz="0" w:space="0" w:color="auto"/>
        <w:left w:val="none" w:sz="0" w:space="0" w:color="auto"/>
        <w:bottom w:val="none" w:sz="0" w:space="0" w:color="auto"/>
        <w:right w:val="none" w:sz="0" w:space="0" w:color="auto"/>
      </w:divBdr>
    </w:div>
    <w:div w:id="1165172753">
      <w:bodyDiv w:val="1"/>
      <w:marLeft w:val="0"/>
      <w:marRight w:val="0"/>
      <w:marTop w:val="0"/>
      <w:marBottom w:val="0"/>
      <w:divBdr>
        <w:top w:val="none" w:sz="0" w:space="0" w:color="auto"/>
        <w:left w:val="none" w:sz="0" w:space="0" w:color="auto"/>
        <w:bottom w:val="none" w:sz="0" w:space="0" w:color="auto"/>
        <w:right w:val="none" w:sz="0" w:space="0" w:color="auto"/>
      </w:divBdr>
    </w:div>
    <w:div w:id="1184326188">
      <w:bodyDiv w:val="1"/>
      <w:marLeft w:val="0"/>
      <w:marRight w:val="0"/>
      <w:marTop w:val="0"/>
      <w:marBottom w:val="0"/>
      <w:divBdr>
        <w:top w:val="none" w:sz="0" w:space="0" w:color="auto"/>
        <w:left w:val="none" w:sz="0" w:space="0" w:color="auto"/>
        <w:bottom w:val="none" w:sz="0" w:space="0" w:color="auto"/>
        <w:right w:val="none" w:sz="0" w:space="0" w:color="auto"/>
      </w:divBdr>
    </w:div>
    <w:div w:id="1215579345">
      <w:bodyDiv w:val="1"/>
      <w:marLeft w:val="0"/>
      <w:marRight w:val="0"/>
      <w:marTop w:val="0"/>
      <w:marBottom w:val="0"/>
      <w:divBdr>
        <w:top w:val="none" w:sz="0" w:space="0" w:color="auto"/>
        <w:left w:val="none" w:sz="0" w:space="0" w:color="auto"/>
        <w:bottom w:val="none" w:sz="0" w:space="0" w:color="auto"/>
        <w:right w:val="none" w:sz="0" w:space="0" w:color="auto"/>
      </w:divBdr>
    </w:div>
    <w:div w:id="1247957248">
      <w:bodyDiv w:val="1"/>
      <w:marLeft w:val="0"/>
      <w:marRight w:val="0"/>
      <w:marTop w:val="0"/>
      <w:marBottom w:val="0"/>
      <w:divBdr>
        <w:top w:val="none" w:sz="0" w:space="0" w:color="auto"/>
        <w:left w:val="none" w:sz="0" w:space="0" w:color="auto"/>
        <w:bottom w:val="none" w:sz="0" w:space="0" w:color="auto"/>
        <w:right w:val="none" w:sz="0" w:space="0" w:color="auto"/>
      </w:divBdr>
    </w:div>
    <w:div w:id="1257667849">
      <w:bodyDiv w:val="1"/>
      <w:marLeft w:val="0"/>
      <w:marRight w:val="0"/>
      <w:marTop w:val="0"/>
      <w:marBottom w:val="0"/>
      <w:divBdr>
        <w:top w:val="none" w:sz="0" w:space="0" w:color="auto"/>
        <w:left w:val="none" w:sz="0" w:space="0" w:color="auto"/>
        <w:bottom w:val="none" w:sz="0" w:space="0" w:color="auto"/>
        <w:right w:val="none" w:sz="0" w:space="0" w:color="auto"/>
      </w:divBdr>
    </w:div>
    <w:div w:id="1277636142">
      <w:bodyDiv w:val="1"/>
      <w:marLeft w:val="0"/>
      <w:marRight w:val="0"/>
      <w:marTop w:val="0"/>
      <w:marBottom w:val="0"/>
      <w:divBdr>
        <w:top w:val="none" w:sz="0" w:space="0" w:color="auto"/>
        <w:left w:val="none" w:sz="0" w:space="0" w:color="auto"/>
        <w:bottom w:val="none" w:sz="0" w:space="0" w:color="auto"/>
        <w:right w:val="none" w:sz="0" w:space="0" w:color="auto"/>
      </w:divBdr>
    </w:div>
    <w:div w:id="1579973117">
      <w:bodyDiv w:val="1"/>
      <w:marLeft w:val="0"/>
      <w:marRight w:val="0"/>
      <w:marTop w:val="0"/>
      <w:marBottom w:val="0"/>
      <w:divBdr>
        <w:top w:val="none" w:sz="0" w:space="0" w:color="auto"/>
        <w:left w:val="none" w:sz="0" w:space="0" w:color="auto"/>
        <w:bottom w:val="none" w:sz="0" w:space="0" w:color="auto"/>
        <w:right w:val="none" w:sz="0" w:space="0" w:color="auto"/>
      </w:divBdr>
    </w:div>
    <w:div w:id="1823547292">
      <w:bodyDiv w:val="1"/>
      <w:marLeft w:val="0"/>
      <w:marRight w:val="0"/>
      <w:marTop w:val="0"/>
      <w:marBottom w:val="0"/>
      <w:divBdr>
        <w:top w:val="none" w:sz="0" w:space="0" w:color="auto"/>
        <w:left w:val="none" w:sz="0" w:space="0" w:color="auto"/>
        <w:bottom w:val="none" w:sz="0" w:space="0" w:color="auto"/>
        <w:right w:val="none" w:sz="0" w:space="0" w:color="auto"/>
      </w:divBdr>
    </w:div>
    <w:div w:id="1898978831">
      <w:bodyDiv w:val="1"/>
      <w:marLeft w:val="0"/>
      <w:marRight w:val="0"/>
      <w:marTop w:val="0"/>
      <w:marBottom w:val="0"/>
      <w:divBdr>
        <w:top w:val="none" w:sz="0" w:space="0" w:color="auto"/>
        <w:left w:val="none" w:sz="0" w:space="0" w:color="auto"/>
        <w:bottom w:val="none" w:sz="0" w:space="0" w:color="auto"/>
        <w:right w:val="none" w:sz="0" w:space="0" w:color="auto"/>
      </w:divBdr>
    </w:div>
    <w:div w:id="1934584629">
      <w:bodyDiv w:val="1"/>
      <w:marLeft w:val="0"/>
      <w:marRight w:val="0"/>
      <w:marTop w:val="0"/>
      <w:marBottom w:val="0"/>
      <w:divBdr>
        <w:top w:val="none" w:sz="0" w:space="0" w:color="auto"/>
        <w:left w:val="none" w:sz="0" w:space="0" w:color="auto"/>
        <w:bottom w:val="none" w:sz="0" w:space="0" w:color="auto"/>
        <w:right w:val="none" w:sz="0" w:space="0" w:color="auto"/>
      </w:divBdr>
    </w:div>
    <w:div w:id="1991985144">
      <w:bodyDiv w:val="1"/>
      <w:marLeft w:val="0"/>
      <w:marRight w:val="0"/>
      <w:marTop w:val="0"/>
      <w:marBottom w:val="0"/>
      <w:divBdr>
        <w:top w:val="none" w:sz="0" w:space="0" w:color="auto"/>
        <w:left w:val="none" w:sz="0" w:space="0" w:color="auto"/>
        <w:bottom w:val="none" w:sz="0" w:space="0" w:color="auto"/>
        <w:right w:val="none" w:sz="0" w:space="0" w:color="auto"/>
      </w:divBdr>
    </w:div>
    <w:div w:id="2030139258">
      <w:bodyDiv w:val="1"/>
      <w:marLeft w:val="0"/>
      <w:marRight w:val="0"/>
      <w:marTop w:val="0"/>
      <w:marBottom w:val="0"/>
      <w:divBdr>
        <w:top w:val="none" w:sz="0" w:space="0" w:color="auto"/>
        <w:left w:val="none" w:sz="0" w:space="0" w:color="auto"/>
        <w:bottom w:val="none" w:sz="0" w:space="0" w:color="auto"/>
        <w:right w:val="none" w:sz="0" w:space="0" w:color="auto"/>
      </w:divBdr>
    </w:div>
    <w:div w:id="213374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1FA5-C3B5-45D2-95B8-12A7F475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22111CA6</Template>
  <TotalTime>0</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ruth.wigham</dc:creator>
  <cp:lastModifiedBy>caroline.green</cp:lastModifiedBy>
  <cp:revision>2</cp:revision>
  <cp:lastPrinted>2016-02-01T07:58:00Z</cp:lastPrinted>
  <dcterms:created xsi:type="dcterms:W3CDTF">2016-02-05T14:10:00Z</dcterms:created>
  <dcterms:modified xsi:type="dcterms:W3CDTF">2016-02-05T14:10:00Z</dcterms:modified>
</cp:coreProperties>
</file>